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280" w:lineRule="exact"/>
        <w:jc w:val="center"/>
        <w:textAlignment w:val="baseline"/>
        <w:rPr>
          <w:rFonts w:hint="eastAsia" w:ascii="UD デジタル 教科書体 NP-R" w:hAnsi="UD デジタル 教科書体 NP-R" w:eastAsia="UD デジタル 教科書体 NP-R"/>
          <w:color w:val="000000"/>
          <w:spacing w:val="2"/>
          <w:kern w:val="0"/>
        </w:rPr>
      </w:pPr>
      <w:r>
        <w:rPr>
          <w:rFonts w:hint="eastAsia" w:ascii="AR丸ゴシック体M" w:hAnsi="AR丸ゴシック体M" w:eastAsia="AR丸ゴシック体M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-15240</wp:posOffset>
                </wp:positionV>
                <wp:extent cx="895350" cy="247650"/>
                <wp:effectExtent l="635" t="635" r="29845" b="10795"/>
                <wp:wrapNone/>
                <wp:docPr id="1026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6"/>
                      <wps:cNvSpPr txBox="1"/>
                      <wps:spPr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AR丸ゴシック体M" w:hAnsi="AR丸ゴシック体M" w:eastAsia="AR丸ゴシック体M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文書照会用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wrap-distance-right:9pt;mso-wrap-distance-bottom:0pt;margin-top:-1.2pt;mso-position-vertical-relative:text;mso-position-horizontal-relative:text;v-text-anchor:middle;position:absolute;height:19.5pt;mso-wrap-distance-top:0pt;width:70.5pt;mso-wrap-distance-left:9pt;margin-left:439pt;z-index:7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AR丸ゴシック体M" w:hAnsi="AR丸ゴシック体M" w:eastAsia="AR丸ゴシック体M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文書照会用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color w:val="000000"/>
          <w:kern w:val="0"/>
        </w:rPr>
        <w:t>軽度者に対する福祉用具貸与の対象外種目に係る</w:t>
      </w:r>
    </w:p>
    <w:p>
      <w:pPr>
        <w:pStyle w:val="0"/>
        <w:overflowPunct w:val="0"/>
        <w:spacing w:line="280" w:lineRule="exact"/>
        <w:jc w:val="center"/>
        <w:textAlignment w:val="baseline"/>
        <w:rPr>
          <w:rFonts w:hint="eastAsia" w:ascii="UD デジタル 教科書体 NP-R" w:hAnsi="UD デジタル 教科書体 NP-R" w:eastAsia="UD デジタル 教科書体 NP-R"/>
          <w:color w:val="000000"/>
          <w:spacing w:val="2"/>
          <w:kern w:val="0"/>
        </w:rPr>
      </w:pPr>
      <w:r>
        <w:rPr>
          <w:rFonts w:hint="eastAsia" w:ascii="UD デジタル 教科書体 NP-R" w:hAnsi="UD デジタル 教科書体 NP-R" w:eastAsia="UD デジタル 教科書体 NP-R"/>
          <w:color w:val="000000"/>
          <w:kern w:val="0"/>
        </w:rPr>
        <w:t>医　　師　　へ　　の　　照　　会　　事　　項</w:t>
      </w:r>
    </w:p>
    <w:p>
      <w:pPr>
        <w:pStyle w:val="0"/>
        <w:spacing w:line="240" w:lineRule="exact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spacing w:line="280" w:lineRule="exact"/>
        <w:jc w:val="right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令和　　年　　月　　日</w:t>
      </w:r>
    </w:p>
    <w:p>
      <w:pPr>
        <w:pStyle w:val="0"/>
        <w:spacing w:line="240" w:lineRule="exact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spacing w:line="280" w:lineRule="exact"/>
        <w:rPr>
          <w:rFonts w:hint="eastAsia" w:ascii="UD デジタル 教科書体 NP-R" w:hAnsi="UD デジタル 教科書体 NP-R" w:eastAsia="UD デジタル 教科書体 NP-R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  <w:u w:val="single" w:color="auto"/>
        </w:rPr>
        <w:t>主治医　　　　　　　　　　　　　　　　殿</w:t>
      </w:r>
    </w:p>
    <w:p>
      <w:pPr>
        <w:pStyle w:val="0"/>
        <w:spacing w:line="280" w:lineRule="exact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spacing w:after="217" w:afterLines="100" w:afterAutospacing="0" w:line="280" w:lineRule="exact"/>
        <w:jc w:val="right"/>
        <w:rPr>
          <w:rFonts w:hint="eastAsia" w:ascii="UD デジタル 教科書体 NP-R" w:hAnsi="UD デジタル 教科書体 NP-R" w:eastAsia="UD デジタル 教科書体 NP-R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  <w:u w:val="single" w:color="auto"/>
        </w:rPr>
        <w:t>居宅介護</w:t>
      </w:r>
      <w:r>
        <w:rPr>
          <w:rFonts w:hint="eastAsia" w:ascii="UD デジタル 教科書体 NP-R" w:hAnsi="UD デジタル 教科書体 NP-R" w:eastAsia="UD デジタル 教科書体 NP-R"/>
          <w:u w:val="single" w:color="auto"/>
        </w:rPr>
        <w:t>(</w:t>
      </w:r>
      <w:r>
        <w:rPr>
          <w:rFonts w:hint="eastAsia" w:ascii="UD デジタル 教科書体 NP-R" w:hAnsi="UD デジタル 教科書体 NP-R" w:eastAsia="UD デジタル 教科書体 NP-R"/>
          <w:u w:val="single" w:color="auto"/>
        </w:rPr>
        <w:t>介護予防</w:t>
      </w:r>
      <w:r>
        <w:rPr>
          <w:rFonts w:hint="eastAsia" w:ascii="UD デジタル 教科書体 NP-R" w:hAnsi="UD デジタル 教科書体 NP-R" w:eastAsia="UD デジタル 教科書体 NP-R"/>
          <w:u w:val="single" w:color="auto"/>
        </w:rPr>
        <w:t>)</w:t>
      </w:r>
      <w:r>
        <w:rPr>
          <w:rFonts w:hint="eastAsia" w:ascii="UD デジタル 教科書体 NP-R" w:hAnsi="UD デジタル 教科書体 NP-R" w:eastAsia="UD デジタル 教科書体 NP-R"/>
          <w:u w:val="single" w:color="auto"/>
        </w:rPr>
        <w:t>支援事業所名　　　　　　　　　　　　　　　　　　　</w:t>
      </w:r>
      <w:r>
        <w:rPr>
          <w:rFonts w:hint="eastAsia" w:ascii="UD デジタル 教科書体 NP-R" w:hAnsi="UD デジタル 教科書体 NP-R" w:eastAsia="UD デジタル 教科書体 NP-R"/>
          <w:u w:val="single" w:color="auto"/>
          <w:bdr w:val="single" w:color="auto" w:sz="4" w:space="0"/>
        </w:rPr>
        <w:t>印</w:t>
      </w: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u w:val="single" w:color="auto"/>
        </w:rPr>
        <w:t>　</w:t>
      </w:r>
    </w:p>
    <w:p>
      <w:pPr>
        <w:pStyle w:val="0"/>
        <w:spacing w:line="280" w:lineRule="exact"/>
        <w:ind w:left="2743" w:leftChars="1294"/>
        <w:rPr>
          <w:rFonts w:hint="eastAsia" w:ascii="UD デジタル 教科書体 NP-R" w:hAnsi="UD デジタル 教科書体 NP-R" w:eastAsia="UD デジタル 教科書体 NP-R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  <w:u w:val="single" w:color="auto"/>
        </w:rPr>
        <w:t>担当介護支援専門員（担当者）名　　　　　　　　　　　　　　　　　　　　　</w:t>
      </w:r>
    </w:p>
    <w:p>
      <w:pPr>
        <w:pStyle w:val="0"/>
        <w:spacing w:line="280" w:lineRule="exact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spacing w:line="280" w:lineRule="exact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介護保険制度において、軽度者（要支援１・２又は要介護１※自動排泄処理装置については、要介護２・３も含む）は次の福祉用具の貸与が原則対象外とされ、一定の要件にあてはまる方（厚生労働大臣が定める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528955</wp:posOffset>
                </wp:positionV>
                <wp:extent cx="6595745" cy="351790"/>
                <wp:effectExtent l="635" t="635" r="29845" b="10795"/>
                <wp:wrapNone/>
                <wp:docPr id="1027" name="角丸四角形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 3"/>
                      <wps:cNvSpPr/>
                      <wps:spPr>
                        <a:xfrm>
                          <a:off x="0" y="0"/>
                          <a:ext cx="6595745" cy="35179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3" style="mso-wrap-distance-right:9pt;mso-wrap-distance-bottom:0pt;margin-top:41.65pt;mso-position-vertical-relative:text;mso-position-horizontal-relative:text;position:absolute;height:27.7pt;mso-wrap-distance-top:0pt;width:519.35pt;mso-wrap-distance-left:9pt;margin-left:-0.15pt;z-index:4;" o:spid="_x0000_s1027" o:allowincell="t" o:allowoverlap="t" filled="f" stroked="t" strokecolor="#000000 [3213]" strokeweight="0.5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w:t>者）のみ貸与が認められます。</w:t>
      </w:r>
    </w:p>
    <w:tbl>
      <w:tblPr>
        <w:tblStyle w:val="24"/>
        <w:tblW w:w="104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84"/>
        <w:gridCol w:w="9020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対象外種目</w:t>
            </w:r>
          </w:p>
        </w:tc>
        <w:tc>
          <w:tcPr>
            <w:tcW w:w="9020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・車いす及び付属品　・特殊寝台及び付属品　・床ずれ防止用具及び体位変換器</w:t>
            </w:r>
          </w:p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  <w:color w:val="000000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・認知症老人徘徊感知機器　・移動用リフト（つり具の部分を除く。）　・自動排泄処理装置</w:t>
            </w:r>
          </w:p>
        </w:tc>
      </w:tr>
    </w:tbl>
    <w:p>
      <w:pPr>
        <w:pStyle w:val="0"/>
        <w:spacing w:line="280" w:lineRule="exact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軽度者に対象外種目の貸与が認められるか否かは、原則として要介護（要支援）認定の基本調査の結果（一部の場合は主治医から得た情報及びケアマネジメント。以下同じ。）に基づき判断されますが、基本調査の結果のみで判断できないケースについては、医師の所見が求められています。</w:t>
      </w:r>
    </w:p>
    <w:p>
      <w:pPr>
        <w:pStyle w:val="0"/>
        <w:spacing w:line="280" w:lineRule="exact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つきましては、次の被保険者について下記の事項に係る所見をお願いします。</w:t>
      </w:r>
    </w:p>
    <w:p>
      <w:pPr>
        <w:pStyle w:val="0"/>
        <w:spacing w:line="280" w:lineRule="exact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spacing w:line="280" w:lineRule="exact"/>
        <w:jc w:val="center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被保険者に係る所見</w:t>
      </w:r>
    </w:p>
    <w:p>
      <w:pPr>
        <w:pStyle w:val="0"/>
        <w:spacing w:line="280" w:lineRule="exact"/>
        <w:jc w:val="right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170815</wp:posOffset>
                </wp:positionV>
                <wp:extent cx="6595745" cy="523875"/>
                <wp:effectExtent l="635" t="635" r="29845" b="10795"/>
                <wp:wrapNone/>
                <wp:docPr id="1028" name="角丸四角形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 4"/>
                      <wps:cNvSpPr/>
                      <wps:spPr>
                        <a:xfrm>
                          <a:off x="0" y="0"/>
                          <a:ext cx="6595745" cy="5238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4" style="mso-wrap-distance-right:9pt;mso-wrap-distance-bottom:0pt;margin-top:13.45pt;mso-position-vertical-relative:text;mso-position-horizontal-relative:text;position:absolute;height:41.25pt;mso-wrap-distance-top:0pt;width:519.35pt;mso-wrap-distance-left:9pt;margin-left:-0.2pt;z-index:5;" o:spid="_x0000_s1028" o:allowincell="t" o:allowoverlap="t" filled="f" stroked="t" strokecolor="#000000 [3213]" strokeweight="0.5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w:t>令和　　年　　月　　日</w:t>
      </w:r>
    </w:p>
    <w:tbl>
      <w:tblPr>
        <w:tblStyle w:val="24"/>
        <w:tblW w:w="104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943"/>
        <w:gridCol w:w="7461"/>
      </w:tblGrid>
      <w:tr>
        <w:trPr>
          <w:trHeight w:val="404" w:hRule="atLeast"/>
        </w:trPr>
        <w:tc>
          <w:tcPr>
            <w:tcW w:w="2943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医療機関名</w:t>
            </w:r>
          </w:p>
        </w:tc>
        <w:tc>
          <w:tcPr>
            <w:tcW w:w="7461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404" w:hRule="atLeast"/>
        </w:trPr>
        <w:tc>
          <w:tcPr>
            <w:tcW w:w="2943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医　師　名</w:t>
            </w:r>
          </w:p>
        </w:tc>
        <w:tc>
          <w:tcPr>
            <w:tcW w:w="7461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spacing w:line="280" w:lineRule="exact"/>
        <w:rPr>
          <w:rFonts w:hint="eastAsia" w:ascii="UD デジタル 教科書体 NP-R" w:hAnsi="UD デジタル 教科書体 NP-R" w:eastAsia="UD デジタル 教科書体 NP-R"/>
        </w:rPr>
      </w:pPr>
    </w:p>
    <w:tbl>
      <w:tblPr>
        <w:tblStyle w:val="24"/>
        <w:tblW w:w="104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85"/>
        <w:gridCol w:w="135"/>
        <w:gridCol w:w="338"/>
        <w:gridCol w:w="166"/>
        <w:gridCol w:w="921"/>
        <w:gridCol w:w="1277"/>
        <w:gridCol w:w="709"/>
        <w:gridCol w:w="1323"/>
        <w:gridCol w:w="1166"/>
        <w:gridCol w:w="3009"/>
      </w:tblGrid>
      <w:tr>
        <w:trPr>
          <w:trHeight w:val="418" w:hRule="atLeast"/>
        </w:trPr>
        <w:tc>
          <w:tcPr>
            <w:tcW w:w="1385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40" w:beforeLines="0" w:beforeAutospacing="0"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被保険者名</w:t>
            </w:r>
          </w:p>
        </w:tc>
        <w:tc>
          <w:tcPr>
            <w:tcW w:w="2837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性別</w:t>
            </w:r>
          </w:p>
        </w:tc>
        <w:tc>
          <w:tcPr>
            <w:tcW w:w="132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男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女</w:t>
            </w:r>
          </w:p>
        </w:tc>
        <w:tc>
          <w:tcPr>
            <w:tcW w:w="116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生年月日</w:t>
            </w:r>
          </w:p>
        </w:tc>
        <w:tc>
          <w:tcPr>
            <w:tcW w:w="3009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-64" w:leftChars="-30" w:right="-66" w:rightChars="-31" w:firstLineChars="0"/>
              <w:jc w:val="righ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20"/>
              </w:rPr>
              <w:t>大正・昭和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　　年　　月　　日</w:t>
            </w:r>
          </w:p>
        </w:tc>
      </w:tr>
      <w:tr>
        <w:trPr>
          <w:trHeight w:val="418" w:hRule="atLeast"/>
        </w:trPr>
        <w:tc>
          <w:tcPr>
            <w:tcW w:w="138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住　　　所</w:t>
            </w:r>
          </w:p>
        </w:tc>
        <w:tc>
          <w:tcPr>
            <w:tcW w:w="904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418" w:hRule="atLeast"/>
        </w:trPr>
        <w:tc>
          <w:tcPr>
            <w:tcW w:w="2945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疾　　病　　名</w:t>
            </w:r>
          </w:p>
        </w:tc>
        <w:tc>
          <w:tcPr>
            <w:tcW w:w="748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1260" w:hRule="atLeast"/>
        </w:trPr>
        <w:tc>
          <w:tcPr>
            <w:tcW w:w="2945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AR丸ゴシック体M" w:hAnsi="AR丸ゴシック体M" w:eastAsia="AR丸ゴシック体M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165735</wp:posOffset>
                      </wp:positionV>
                      <wp:extent cx="104775" cy="356870"/>
                      <wp:effectExtent l="635" t="635" r="29845" b="10795"/>
                      <wp:wrapNone/>
                      <wp:docPr id="1029" name="左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左大かっこ 2"/>
                            <wps:cNvSpPr/>
                            <wps:spPr>
                              <a:xfrm flipH="1">
                                <a:off x="0" y="0"/>
                                <a:ext cx="104775" cy="356870"/>
                              </a:xfrm>
                              <a:prstGeom prst="leftBracket">
                                <a:avLst>
                                  <a:gd name="adj" fmla="val 3645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style="flip:x;mso-wrap-distance-right:9pt;mso-wrap-distance-bottom:0pt;margin-top:13.05pt;mso-position-vertical-relative:text;mso-position-horizontal-relative:text;position:absolute;height:28.1pt;mso-wrap-distance-top:0pt;width:8.25pt;mso-wrap-distance-left:9pt;margin-left:126.05pt;z-index:3;" o:spid="_x0000_s1029" o:allowincell="t" o:allowoverlap="t" filled="f" stroked="t" strokecolor="#000000 [3213]" strokeweight="0.75pt" o:spt="85" type="#_x0000_t85" adj="7875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AR丸ゴシック体M" w:hAnsi="AR丸ゴシック体M" w:eastAsia="AR丸ゴシック体M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165735</wp:posOffset>
                      </wp:positionV>
                      <wp:extent cx="104775" cy="356870"/>
                      <wp:effectExtent l="635" t="635" r="29845" b="10795"/>
                      <wp:wrapNone/>
                      <wp:docPr id="1030" name="左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左大かっこ 1"/>
                            <wps:cNvSpPr/>
                            <wps:spPr>
                              <a:xfrm>
                                <a:off x="0" y="0"/>
                                <a:ext cx="104775" cy="356870"/>
                              </a:xfrm>
                              <a:prstGeom prst="leftBracket">
                                <a:avLst>
                                  <a:gd name="adj" fmla="val 3645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style="mso-wrap-distance-right:9pt;mso-wrap-distance-bottom:0pt;margin-top:13.05pt;mso-position-vertical-relative:text;mso-position-horizontal-relative:text;position:absolute;height:28.1pt;mso-wrap-distance-top:0pt;width:8.25pt;mso-wrap-distance-left:9pt;margin-left:2.4pt;z-index:2;" o:spid="_x0000_s1030" o:allowincell="t" o:allowoverlap="t" filled="f" stroked="t" strokecolor="#000000 [3213]" strokeweight="0.75pt" o:spt="85" type="#_x0000_t85" adj="7875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心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身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の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状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況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福祉用具が必要な場合は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その理由を含む。</w:t>
            </w:r>
          </w:p>
        </w:tc>
        <w:tc>
          <w:tcPr>
            <w:tcW w:w="748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548" w:hRule="atLeast"/>
        </w:trPr>
        <w:tc>
          <w:tcPr>
            <w:tcW w:w="1520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対象外種目の貸与が例外的に認められうる場合に当たるか否か。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※該当するものに○を付けて下さい。</w:t>
            </w:r>
          </w:p>
        </w:tc>
        <w:tc>
          <w:tcPr>
            <w:tcW w:w="33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ind w:left="113" w:right="113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関係する対象外種目</w:t>
            </w:r>
          </w:p>
        </w:tc>
        <w:tc>
          <w:tcPr>
            <w:tcW w:w="1087" w:type="dxa"/>
            <w:gridSpan w:val="2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車いす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w w:val="50"/>
              </w:rPr>
              <w:t>及び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付属品</w:t>
            </w:r>
          </w:p>
        </w:tc>
        <w:tc>
          <w:tcPr>
            <w:tcW w:w="748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・日常生活範囲における移動の支援が特に必要と認められる者</w:t>
            </w:r>
          </w:p>
        </w:tc>
      </w:tr>
      <w:tr>
        <w:trPr>
          <w:trHeight w:val="555" w:hRule="atLeast"/>
        </w:trPr>
        <w:tc>
          <w:tcPr>
            <w:tcW w:w="1520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338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1087" w:type="dxa"/>
            <w:gridSpan w:val="2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移動用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リフト</w:t>
            </w:r>
          </w:p>
        </w:tc>
        <w:tc>
          <w:tcPr>
            <w:tcW w:w="748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・生活環境において段差の解消が必要と認められる者</w:t>
            </w:r>
          </w:p>
        </w:tc>
      </w:tr>
      <w:tr>
        <w:trPr>
          <w:trHeight w:val="1928" w:hRule="atLeast"/>
        </w:trPr>
        <w:tc>
          <w:tcPr>
            <w:tcW w:w="1520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338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1087" w:type="dxa"/>
            <w:gridSpan w:val="2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全種目</w:t>
            </w:r>
          </w:p>
        </w:tc>
        <w:tc>
          <w:tcPr>
            <w:tcW w:w="748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ⅰ）疾病その他の原因により、状態が変動しやすく、日によって又は</w:t>
            </w:r>
          </w:p>
          <w:p>
            <w:pPr>
              <w:pStyle w:val="0"/>
              <w:tabs>
                <w:tab w:val="left" w:leader="none" w:pos="429"/>
              </w:tabs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ab/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時間帯によって、頻繁に第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95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号告示第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25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号のイに該当する者</w:t>
            </w:r>
          </w:p>
          <w:p>
            <w:pPr>
              <w:pStyle w:val="0"/>
              <w:tabs>
                <w:tab w:val="left" w:leader="none" w:pos="429"/>
              </w:tabs>
              <w:spacing w:before="108" w:beforeLines="50" w:beforeAutospacing="0"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ⅱ）疾病その他の原因により、状態が急速に悪化し、短期間のうちに</w:t>
            </w:r>
          </w:p>
          <w:p>
            <w:pPr>
              <w:pStyle w:val="0"/>
              <w:tabs>
                <w:tab w:val="left" w:leader="none" w:pos="429"/>
              </w:tabs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ab/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第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95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号告示第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25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号のイに該当するに至ることが確実に見込まれる者</w:t>
            </w:r>
          </w:p>
          <w:p>
            <w:pPr>
              <w:pStyle w:val="0"/>
              <w:tabs>
                <w:tab w:val="left" w:leader="none" w:pos="429"/>
              </w:tabs>
              <w:spacing w:before="108" w:beforeLines="50" w:beforeAutospacing="0"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ⅲ）疾病その他の原因により、身体への重大な危険性又は症状の重篤化</w:t>
            </w:r>
          </w:p>
          <w:p>
            <w:pPr>
              <w:pStyle w:val="0"/>
              <w:tabs>
                <w:tab w:val="left" w:leader="none" w:pos="429"/>
              </w:tabs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ab/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の回避等医学的判断から第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95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号告示第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25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号のイに該当すると判断</w:t>
            </w:r>
          </w:p>
          <w:p>
            <w:pPr>
              <w:pStyle w:val="0"/>
              <w:tabs>
                <w:tab w:val="left" w:leader="none" w:pos="429"/>
              </w:tabs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ab/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できる者</w:t>
            </w:r>
          </w:p>
        </w:tc>
      </w:tr>
      <w:tr>
        <w:trPr>
          <w:trHeight w:val="285" w:hRule="atLeast"/>
        </w:trPr>
        <w:tc>
          <w:tcPr>
            <w:tcW w:w="1520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504" w:type="dxa"/>
            <w:gridSpan w:val="2"/>
            <w:tcBorders>
              <w:top w:val="single" w:color="000000" w:themeColor="text1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748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・いずれにも該当しない。</w:t>
            </w:r>
          </w:p>
        </w:tc>
      </w:tr>
      <w:tr>
        <w:trPr>
          <w:trHeight w:val="1523" w:hRule="atLeast"/>
        </w:trPr>
        <w:tc>
          <w:tcPr>
            <w:tcW w:w="2945" w:type="dxa"/>
            <w:gridSpan w:val="5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福祉用具の要否</w:t>
            </w:r>
          </w:p>
          <w:p>
            <w:pPr>
              <w:pStyle w:val="0"/>
              <w:spacing w:line="280" w:lineRule="exact"/>
              <w:ind w:left="223" w:leftChars="105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※該当するものをチェック</w:t>
            </w:r>
          </w:p>
          <w:p>
            <w:pPr>
              <w:pStyle w:val="0"/>
              <w:spacing w:line="280" w:lineRule="exact"/>
              <w:ind w:left="223" w:leftChars="105" w:firstLine="167" w:firstLineChars="92"/>
              <w:jc w:val="left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してください</w:t>
            </w:r>
          </w:p>
        </w:tc>
        <w:tc>
          <w:tcPr>
            <w:tcW w:w="7484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tabs>
                <w:tab w:val="left" w:leader="none" w:pos="4197"/>
              </w:tabs>
              <w:spacing w:before="108" w:beforeLines="50" w:beforeAutospacing="0" w:line="280" w:lineRule="exact"/>
              <w:ind w:left="357" w:leftChars="0" w:hanging="357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車いす及び付属品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ab/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□　特殊寝台及び付属品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leader="none" w:pos="4197"/>
              </w:tabs>
              <w:spacing w:line="280" w:lineRule="exact"/>
              <w:ind w:leftChars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床ずれ防止用具及び体位変換器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ab/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□　認知症老人徘徊感知機器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leader="none" w:pos="4197"/>
              </w:tabs>
              <w:spacing w:line="280" w:lineRule="exact"/>
              <w:ind w:leftChars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移動用リフト（つり具の部分を除く。）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ab/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□　自動排泄処理装置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leader="none" w:pos="4197"/>
              </w:tabs>
              <w:spacing w:before="217" w:beforeLines="100" w:beforeAutospacing="0" w:after="108" w:afterLines="50" w:afterAutospacing="0" w:line="280" w:lineRule="exact"/>
              <w:ind w:left="357" w:leftChars="0" w:hanging="357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以上の福祉用具は必要でない。</w:t>
            </w:r>
          </w:p>
        </w:tc>
      </w:tr>
    </w:tbl>
    <w:p>
      <w:pPr>
        <w:pStyle w:val="0"/>
        <w:widowControl w:val="1"/>
        <w:spacing w:line="280" w:lineRule="exact"/>
        <w:jc w:val="right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-4897755</wp:posOffset>
                </wp:positionV>
                <wp:extent cx="6619875" cy="4890770"/>
                <wp:effectExtent l="635" t="635" r="29845" b="10795"/>
                <wp:wrapNone/>
                <wp:docPr id="1031" name="角丸四角形 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角丸四角形 5"/>
                      <wps:cNvSpPr/>
                      <wps:spPr>
                        <a:xfrm>
                          <a:off x="0" y="0"/>
                          <a:ext cx="6619875" cy="4890770"/>
                        </a:xfrm>
                        <a:prstGeom prst="roundRect">
                          <a:avLst>
                            <a:gd name="adj" fmla="val 156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5" style="mso-wrap-distance-right:9pt;mso-wrap-distance-bottom:0pt;margin-top:-385.65pt;mso-position-vertical-relative:text;mso-position-horizontal-relative:text;position:absolute;height:385.1pt;mso-wrap-distance-top:0pt;width:521.25pt;mso-wrap-distance-left:9pt;margin-left:-0.2pt;z-index:6;" o:spid="_x0000_s1031" o:allowincell="t" o:allowoverlap="t" filled="f" stroked="t" strokecolor="#000000 [3213]" strokeweight="0.5pt" o:spt="2" arcsize="1022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w:br w:type="page"/>
      </w:r>
      <w:r>
        <w:rPr>
          <w:rFonts w:hint="eastAsia" w:ascii="UD デジタル 教科書体 NP-R" w:hAnsi="UD デジタル 教科書体 NP-R" w:eastAsia="UD デジタル 教科書体 NP-R"/>
        </w:rPr>
        <w:t>（裏）</w:t>
      </w:r>
    </w:p>
    <w:p>
      <w:pPr>
        <w:pStyle w:val="0"/>
        <w:widowControl w:val="1"/>
        <w:spacing w:line="280" w:lineRule="exact"/>
        <w:jc w:val="left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（参考</w:t>
      </w:r>
      <w:r>
        <w:rPr>
          <w:rFonts w:hint="eastAsia" w:ascii="UD デジタル 教科書体 NP-R" w:hAnsi="UD デジタル 教科書体 NP-R" w:eastAsia="UD デジタル 教科書体 NP-R"/>
        </w:rPr>
        <w:t>1</w:t>
      </w:r>
      <w:r>
        <w:rPr>
          <w:rFonts w:hint="eastAsia" w:ascii="UD デジタル 教科書体 NP-R" w:hAnsi="UD デジタル 教科書体 NP-R" w:eastAsia="UD デジタル 教科書体 NP-R"/>
        </w:rPr>
        <w:t>）第</w:t>
      </w:r>
      <w:r>
        <w:rPr>
          <w:rFonts w:hint="eastAsia" w:ascii="UD デジタル 教科書体 NP-R" w:hAnsi="UD デジタル 教科書体 NP-R" w:eastAsia="UD デジタル 教科書体 NP-R"/>
        </w:rPr>
        <w:t>95</w:t>
      </w:r>
      <w:r>
        <w:rPr>
          <w:rFonts w:hint="eastAsia" w:ascii="UD デジタル 教科書体 NP-R" w:hAnsi="UD デジタル 教科書体 NP-R" w:eastAsia="UD デジタル 教科書体 NP-R"/>
        </w:rPr>
        <w:t>号告示第</w:t>
      </w:r>
      <w:r>
        <w:rPr>
          <w:rFonts w:hint="eastAsia" w:ascii="UD デジタル 教科書体 NP-R" w:hAnsi="UD デジタル 教科書体 NP-R" w:eastAsia="UD デジタル 教科書体 NP-R"/>
        </w:rPr>
        <w:t>25</w:t>
      </w:r>
      <w:r>
        <w:rPr>
          <w:rFonts w:hint="eastAsia" w:ascii="UD デジタル 教科書体 NP-R" w:hAnsi="UD デジタル 教科書体 NP-R" w:eastAsia="UD デジタル 教科書体 NP-R"/>
        </w:rPr>
        <w:t>号のイ</w:t>
      </w:r>
    </w:p>
    <w:tbl>
      <w:tblPr>
        <w:tblStyle w:val="24"/>
        <w:tblW w:w="104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02"/>
        <w:gridCol w:w="7602"/>
      </w:tblGrid>
      <w:tr>
        <w:trPr/>
        <w:tc>
          <w:tcPr>
            <w:tcW w:w="2802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車いす・付属品</w:t>
            </w:r>
          </w:p>
        </w:tc>
        <w:tc>
          <w:tcPr>
            <w:tcW w:w="7602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次のいずれかに該当する者</w:t>
            </w:r>
          </w:p>
          <w:p>
            <w:pPr>
              <w:pStyle w:val="15"/>
              <w:widowControl w:val="1"/>
              <w:numPr>
                <w:ilvl w:val="0"/>
                <w:numId w:val="2"/>
              </w:numPr>
              <w:spacing w:line="280" w:lineRule="exact"/>
              <w:ind w:leftChars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日常的に歩行が困難な者</w:t>
            </w:r>
          </w:p>
          <w:p>
            <w:pPr>
              <w:pStyle w:val="15"/>
              <w:widowControl w:val="1"/>
              <w:numPr>
                <w:ilvl w:val="0"/>
                <w:numId w:val="2"/>
              </w:numPr>
              <w:spacing w:line="280" w:lineRule="exact"/>
              <w:ind w:leftChars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日常生活範囲における移動の支援が特に必要と認められる者</w:t>
            </w:r>
          </w:p>
        </w:tc>
      </w:tr>
      <w:tr>
        <w:trPr/>
        <w:tc>
          <w:tcPr>
            <w:tcW w:w="2802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特殊寝台・付属品</w:t>
            </w:r>
          </w:p>
        </w:tc>
        <w:tc>
          <w:tcPr>
            <w:tcW w:w="7602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次のいずれかに該当する者</w:t>
            </w:r>
          </w:p>
          <w:p>
            <w:pPr>
              <w:pStyle w:val="15"/>
              <w:widowControl w:val="1"/>
              <w:numPr>
                <w:ilvl w:val="0"/>
                <w:numId w:val="3"/>
              </w:numPr>
              <w:spacing w:line="280" w:lineRule="exact"/>
              <w:ind w:leftChars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日常的に起きあがりが困難な者</w:t>
            </w:r>
          </w:p>
          <w:p>
            <w:pPr>
              <w:pStyle w:val="15"/>
              <w:widowControl w:val="1"/>
              <w:numPr>
                <w:ilvl w:val="0"/>
                <w:numId w:val="3"/>
              </w:numPr>
              <w:spacing w:line="280" w:lineRule="exact"/>
              <w:ind w:leftChars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日常的に寝返りが困難な者</w:t>
            </w:r>
          </w:p>
        </w:tc>
      </w:tr>
      <w:tr>
        <w:trPr/>
        <w:tc>
          <w:tcPr>
            <w:tcW w:w="2802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床ずれ防止用具</w:t>
            </w:r>
          </w:p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54"/>
                <w:kern w:val="0"/>
                <w:fitText w:val="1484" w:id="1"/>
              </w:rPr>
              <w:t>体位変換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1"/>
                <w:kern w:val="0"/>
                <w:fitText w:val="1484" w:id="1"/>
              </w:rPr>
              <w:t>器</w:t>
            </w:r>
          </w:p>
        </w:tc>
        <w:tc>
          <w:tcPr>
            <w:tcW w:w="7602" w:type="dxa"/>
            <w:vAlign w:val="center"/>
          </w:tcPr>
          <w:p>
            <w:pPr>
              <w:pStyle w:val="0"/>
              <w:widowControl w:val="1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日常的に寝返りが困難な者</w:t>
            </w:r>
          </w:p>
        </w:tc>
      </w:tr>
      <w:tr>
        <w:trPr/>
        <w:tc>
          <w:tcPr>
            <w:tcW w:w="2802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認知症老人徘徊感知機器</w:t>
            </w:r>
          </w:p>
        </w:tc>
        <w:tc>
          <w:tcPr>
            <w:tcW w:w="7602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次のいずれにも該当する者</w:t>
            </w:r>
          </w:p>
          <w:p>
            <w:pPr>
              <w:pStyle w:val="15"/>
              <w:widowControl w:val="1"/>
              <w:numPr>
                <w:ilvl w:val="0"/>
                <w:numId w:val="4"/>
              </w:numPr>
              <w:spacing w:line="280" w:lineRule="exact"/>
              <w:ind w:leftChars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意思の伝達、介護者への反応、記憶・理解のいずれかに支障がある者</w:t>
            </w:r>
          </w:p>
          <w:p>
            <w:pPr>
              <w:pStyle w:val="15"/>
              <w:widowControl w:val="1"/>
              <w:numPr>
                <w:ilvl w:val="0"/>
                <w:numId w:val="4"/>
              </w:numPr>
              <w:spacing w:line="280" w:lineRule="exact"/>
              <w:ind w:leftChars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移動において全介助を必要としない者</w:t>
            </w:r>
          </w:p>
        </w:tc>
      </w:tr>
      <w:tr>
        <w:trPr/>
        <w:tc>
          <w:tcPr>
            <w:tcW w:w="2802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移動用リフト</w:t>
            </w:r>
          </w:p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（つり具の部分を除く）</w:t>
            </w:r>
          </w:p>
        </w:tc>
        <w:tc>
          <w:tcPr>
            <w:tcW w:w="7602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次のいずれかに該当する者</w:t>
            </w:r>
          </w:p>
          <w:p>
            <w:pPr>
              <w:pStyle w:val="15"/>
              <w:widowControl w:val="1"/>
              <w:numPr>
                <w:ilvl w:val="0"/>
                <w:numId w:val="5"/>
              </w:numPr>
              <w:spacing w:line="280" w:lineRule="exact"/>
              <w:ind w:leftChars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日常的に立ち上がりが困難な者</w:t>
            </w:r>
          </w:p>
          <w:p>
            <w:pPr>
              <w:pStyle w:val="15"/>
              <w:widowControl w:val="1"/>
              <w:numPr>
                <w:ilvl w:val="0"/>
                <w:numId w:val="5"/>
              </w:numPr>
              <w:spacing w:line="280" w:lineRule="exact"/>
              <w:ind w:leftChars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移乗が一部介助又は全介助を必要とする者</w:t>
            </w:r>
          </w:p>
          <w:p>
            <w:pPr>
              <w:pStyle w:val="15"/>
              <w:widowControl w:val="1"/>
              <w:numPr>
                <w:ilvl w:val="0"/>
                <w:numId w:val="5"/>
              </w:numPr>
              <w:spacing w:line="280" w:lineRule="exact"/>
              <w:ind w:leftChars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生活環境において段差の解消が必要と認められる者</w:t>
            </w:r>
          </w:p>
        </w:tc>
      </w:tr>
      <w:tr>
        <w:trPr/>
        <w:tc>
          <w:tcPr>
            <w:tcW w:w="2802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自動排泄処理装置</w:t>
            </w:r>
          </w:p>
        </w:tc>
        <w:tc>
          <w:tcPr>
            <w:tcW w:w="7602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次のいずれにも該当する者</w:t>
            </w:r>
          </w:p>
          <w:p>
            <w:pPr>
              <w:pStyle w:val="15"/>
              <w:widowControl w:val="1"/>
              <w:numPr>
                <w:ilvl w:val="0"/>
                <w:numId w:val="6"/>
              </w:numPr>
              <w:spacing w:line="280" w:lineRule="exact"/>
              <w:ind w:leftChars="0" w:firstLineChars="0"/>
              <w:jc w:val="both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排便が全介助を必要とする者</w:t>
            </w:r>
          </w:p>
          <w:p>
            <w:pPr>
              <w:pStyle w:val="15"/>
              <w:widowControl w:val="1"/>
              <w:numPr>
                <w:ilvl w:val="0"/>
                <w:numId w:val="6"/>
              </w:numPr>
              <w:spacing w:line="280" w:lineRule="exact"/>
              <w:ind w:leftChars="0" w:firstLineChars="0"/>
              <w:jc w:val="both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移乗が全介助を必要とする者</w:t>
            </w:r>
          </w:p>
        </w:tc>
      </w:tr>
    </w:tbl>
    <w:p>
      <w:pPr>
        <w:pStyle w:val="0"/>
        <w:widowControl w:val="1"/>
        <w:spacing w:line="280" w:lineRule="exact"/>
        <w:jc w:val="left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widowControl w:val="1"/>
        <w:spacing w:line="280" w:lineRule="exact"/>
        <w:jc w:val="left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（参考</w:t>
      </w:r>
      <w:r>
        <w:rPr>
          <w:rFonts w:hint="eastAsia" w:ascii="UD デジタル 教科書体 NP-R" w:hAnsi="UD デジタル 教科書体 NP-R" w:eastAsia="UD デジタル 教科書体 NP-R"/>
        </w:rPr>
        <w:t>2</w:t>
      </w:r>
      <w:r>
        <w:rPr>
          <w:rFonts w:hint="eastAsia" w:ascii="UD デジタル 教科書体 NP-R" w:hAnsi="UD デジタル 教科書体 NP-R" w:eastAsia="UD デジタル 教科書体 NP-R"/>
        </w:rPr>
        <w:t>）福祉用具が必要となる事例内容（概略）</w:t>
      </w:r>
    </w:p>
    <w:tbl>
      <w:tblPr>
        <w:tblStyle w:val="24"/>
        <w:tblW w:w="104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2551"/>
        <w:gridCol w:w="5760"/>
      </w:tblGrid>
      <w:tr>
        <w:trPr/>
        <w:tc>
          <w:tcPr>
            <w:tcW w:w="2093" w:type="dxa"/>
            <w:vAlign w:val="top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事例類型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必要となる福祉用具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事例内容（概略）</w:t>
            </w:r>
          </w:p>
        </w:tc>
      </w:tr>
      <w:tr>
        <w:trPr/>
        <w:tc>
          <w:tcPr>
            <w:tcW w:w="2093" w:type="dxa"/>
            <w:vMerge w:val="restart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Ⅰ　状態の変化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0"/>
              <w:widowControl w:val="1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・特殊寝台</w:t>
            </w:r>
          </w:p>
          <w:p>
            <w:pPr>
              <w:pStyle w:val="0"/>
              <w:widowControl w:val="1"/>
              <w:spacing w:line="280" w:lineRule="exact"/>
              <w:ind w:left="229" w:hanging="229" w:hangingChars="108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・床ずれ防止用具・体位変換器</w:t>
            </w:r>
          </w:p>
          <w:p>
            <w:pPr>
              <w:pStyle w:val="0"/>
              <w:widowControl w:val="1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・移動用リフト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パーキンソン病で、内服加療中に急激な症状、症候の軽快・憎悪を起こす現象（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ON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OFF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現象）が頻繁に起き、日によって、告示で定める福祉用具が必要な状態となる。</w:t>
            </w:r>
          </w:p>
        </w:tc>
      </w:tr>
      <w:tr>
        <w:trPr/>
        <w:tc>
          <w:tcPr>
            <w:tcW w:w="2093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5760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重度の関節リウマチで、関節のこわばりが朝方に強くなり、時間帯によって、告示で定める福祉用具が必要な状態となる。</w:t>
            </w:r>
          </w:p>
        </w:tc>
      </w:tr>
      <w:tr>
        <w:trPr/>
        <w:tc>
          <w:tcPr>
            <w:tcW w:w="2093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Ⅱ　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36"/>
                <w:kern w:val="0"/>
                <w:fitText w:val="1060" w:id="2"/>
              </w:rPr>
              <w:t>急性憎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2"/>
                <w:kern w:val="0"/>
                <w:fitText w:val="1060" w:id="2"/>
              </w:rPr>
              <w:t>悪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・特殊寝台</w:t>
            </w:r>
          </w:p>
          <w:p>
            <w:pPr>
              <w:pStyle w:val="0"/>
              <w:widowControl w:val="1"/>
              <w:spacing w:line="280" w:lineRule="exact"/>
              <w:ind w:left="229" w:hanging="229" w:hangingChars="108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・床ずれ防止用具・体位変換器</w:t>
            </w:r>
          </w:p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・移動用リフト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末期がんで、認定調査時は何とか自立していても、急激に状態が悪化し、短時間で告示で定める福祉用具が必要な状態となる。</w:t>
            </w:r>
          </w:p>
        </w:tc>
      </w:tr>
      <w:tr>
        <w:trPr/>
        <w:tc>
          <w:tcPr>
            <w:tcW w:w="2093" w:type="dxa"/>
            <w:vMerge w:val="restart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Ⅲ　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36"/>
                <w:kern w:val="0"/>
                <w:fitText w:val="1060" w:id="3"/>
              </w:rPr>
              <w:t>医師禁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2"/>
                <w:kern w:val="0"/>
                <w:fitText w:val="1060" w:id="3"/>
              </w:rPr>
              <w:t>忌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0"/>
              <w:widowControl w:val="1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・特殊寝台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重度の喘息発作で、特殊寝台の利用により、一定の角度に上体を起こすことで、呼吸不全の危険性を回避する必要がある。特殊寝台の必要性を医師からも指示されている。</w:t>
            </w:r>
          </w:p>
        </w:tc>
      </w:tr>
      <w:tr>
        <w:trPr/>
        <w:tc>
          <w:tcPr>
            <w:tcW w:w="2093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5760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重度の心疾患で、特殊寝台の利用により、急激な動きをとらないようにし、心不全発作の危険性を回避する必要がある。特殊寝台の必要性を医師からも指示されている。</w:t>
            </w:r>
          </w:p>
        </w:tc>
      </w:tr>
      <w:tr>
        <w:trPr/>
        <w:tc>
          <w:tcPr>
            <w:tcW w:w="2093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5760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重度の逆流性食道炎（嚥下障害）で、特殊寝台の利用により、一定の角度に上体を起こすことで、誤嚥性肺炎の危険性を回避する必要がある。特殊寝台の必要性を医師からも指示されている。</w:t>
            </w:r>
          </w:p>
        </w:tc>
      </w:tr>
      <w:tr>
        <w:trPr/>
        <w:tc>
          <w:tcPr>
            <w:tcW w:w="2093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widowControl w:val="1"/>
              <w:spacing w:line="280" w:lineRule="exact"/>
              <w:ind w:left="201" w:hanging="201" w:hangingChars="95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・床ずれ防止用具・体位変換器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脊髄損傷による下半身麻痺で、床ずれ発生リスクが高く、床ずれ防止用具の利用により、床ずれの危険性を回避する必要性がある。床ずれ防止用具の必要性を医師からも指示されている。</w:t>
            </w:r>
          </w:p>
        </w:tc>
      </w:tr>
      <w:tr>
        <w:trPr/>
        <w:tc>
          <w:tcPr>
            <w:tcW w:w="2093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widowControl w:val="1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・移動用リフト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人工股関節の術後で、移動用リフトにより、立ち座りの際の脱臼の危険性を回避する必要がある。移動用リフトの利用を医師からも指示されている。</w:t>
            </w:r>
          </w:p>
        </w:tc>
      </w:tr>
    </w:tbl>
    <w:p>
      <w:pPr>
        <w:pStyle w:val="0"/>
        <w:widowControl w:val="1"/>
        <w:spacing w:line="280" w:lineRule="exact"/>
        <w:jc w:val="left"/>
        <w:rPr>
          <w:rFonts w:hint="eastAsia" w:ascii="UD デジタル 教科書体 NP-R" w:hAnsi="UD デジタル 教科書体 NP-R" w:eastAsia="UD デジタル 教科書体 NP-R"/>
        </w:rPr>
      </w:pPr>
    </w:p>
    <w:sectPr>
      <w:pgSz w:w="11906" w:h="16838"/>
      <w:pgMar w:top="774" w:right="850" w:bottom="496" w:left="850" w:header="720" w:footer="720" w:gutter="0"/>
      <w:pgNumType w:start="1"/>
      <w:cols w:space="720"/>
      <w:noEndnote w:val="1"/>
      <w:textDirection w:val="lrTb"/>
      <w:docGrid w:type="linesAndChars" w:linePitch="217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3C236EA"/>
    <w:lvl w:ilvl="0" w:tplc="CD3E408E">
      <w:numFmt w:val="bullet"/>
      <w:lvlText w:val="□"/>
      <w:lvlJc w:val="left"/>
      <w:pPr>
        <w:ind w:left="360" w:hanging="360"/>
      </w:pPr>
      <w:rPr>
        <w:rFonts w:hint="eastAsia" w:ascii="AR丸ゴシック体M" w:hAnsi="AR丸ゴシック体M" w:eastAsia="AR丸ゴシック体M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A476AED6"/>
    <w:lvl w:ilvl="0" w:tplc="E01C3E62">
      <w:start w:val="1"/>
      <w:numFmt w:val="japaneseCounting"/>
      <w:lvlText w:val="（%1）"/>
      <w:lvlJc w:val="left"/>
      <w:pPr>
        <w:ind w:left="720" w:hanging="720"/>
      </w:pPr>
      <w:rPr>
        <w:rFonts w:hint="eastAsia" w:ascii="AR丸ゴシック体M" w:hAnsi="AR丸ゴシック体M" w:eastAsia="AR丸ゴシック体M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82FA3416"/>
    <w:lvl w:ilvl="0" w:tplc="CA105D7E">
      <w:start w:val="1"/>
      <w:numFmt w:val="japaneseCounting"/>
      <w:lvlText w:val="（%1）"/>
      <w:lvlJc w:val="left"/>
      <w:pPr>
        <w:ind w:left="720" w:hanging="720"/>
      </w:pPr>
      <w:rPr>
        <w:rFonts w:hint="eastAsia" w:ascii="AR丸ゴシック体M" w:hAnsi="AR丸ゴシック体M" w:eastAsia="AR丸ゴシック体M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0000004"/>
    <w:multiLevelType w:val="hybridMultilevel"/>
    <w:tmpl w:val="F1A6084E"/>
    <w:lvl w:ilvl="0" w:tplc="53EAC534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0000005"/>
    <w:multiLevelType w:val="hybridMultilevel"/>
    <w:tmpl w:val="DDFC9F3A"/>
    <w:lvl w:ilvl="0" w:tplc="ADD69162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0000006"/>
    <w:multiLevelType w:val="hybridMultilevel"/>
    <w:tmpl w:val="91801856"/>
    <w:lvl w:ilvl="0" w:tplc="87111A3D">
      <w:start w:val="1"/>
      <w:numFmt w:val="japaneseCounting"/>
      <w:lvlText w:val="（%1）"/>
      <w:lvlJc w:val="left"/>
      <w:pPr>
        <w:ind w:left="720" w:hanging="720"/>
      </w:pPr>
      <w:rPr>
        <w:rFonts w:hint="eastAsia" w:ascii="UD デジタル 教科書体 NP-R" w:hAnsi="UD デジタル 教科書体 NP-R" w:eastAsia="UD デジタル 教科書体 NP-R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429</TotalTime>
  <Pages>2</Pages>
  <Words>12</Words>
  <Characters>2006</Characters>
  <Application>JUST Note</Application>
  <Lines>502</Lines>
  <Paragraphs>103</Paragraphs>
  <CharactersWithSpaces>2130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門口 尚弘</dc:creator>
  <cp:lastModifiedBy>門口 尚弘</cp:lastModifiedBy>
  <cp:lastPrinted>2020-10-26T07:17:56Z</cp:lastPrinted>
  <dcterms:created xsi:type="dcterms:W3CDTF">2019-12-05T06:22:00Z</dcterms:created>
  <dcterms:modified xsi:type="dcterms:W3CDTF">2020-10-26T07:26:42Z</dcterms:modified>
  <cp:revision>7</cp:revision>
</cp:coreProperties>
</file>