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contextualSpacing w:val="1"/>
        <w:jc w:val="right"/>
        <w:rPr>
          <w:rFonts w:hint="eastAsia" w:ascii="UD デジタル 教科書体 NK-R" w:hAnsi="UD デジタル 教科書体 NK-R" w:eastAsia="UD デジタル 教科書体 NK-R"/>
          <w:sz w:val="24"/>
        </w:rPr>
      </w:pPr>
      <w:r>
        <w:rPr>
          <w:rFonts w:hint="eastAsia" w:ascii="HGｺﾞｼｯｸM" w:hAnsi="HGｺﾞｼｯｸM" w:eastAsia="HGｺﾞｼｯｸM"/>
          <w:sz w:val="24"/>
        </w:rPr>
        <w:t>　</w:t>
      </w:r>
      <w:r>
        <w:rPr>
          <w:rFonts w:hint="eastAsia" w:ascii="UD デジタル 教科書体 NK-R" w:hAnsi="UD デジタル 教科書体 NK-R" w:eastAsia="UD デジタル 教科書体 NK-R"/>
          <w:sz w:val="24"/>
        </w:rPr>
        <w:t>令和　　年　　月　　日</w:t>
      </w:r>
    </w:p>
    <w:p>
      <w:pPr>
        <w:pStyle w:val="0"/>
        <w:snapToGrid w:val="0"/>
        <w:contextualSpacing w:val="1"/>
        <w:rPr>
          <w:rFonts w:hint="eastAsia" w:ascii="UD デジタル 教科書体 NK-R" w:hAnsi="UD デジタル 教科書体 NK-R" w:eastAsia="UD デジタル 教科書体 NK-R"/>
          <w:sz w:val="24"/>
        </w:rPr>
      </w:pPr>
    </w:p>
    <w:p>
      <w:pPr>
        <w:pStyle w:val="0"/>
        <w:snapToGrid w:val="0"/>
        <w:contextualSpacing w:val="1"/>
        <w:rPr>
          <w:rFonts w:hint="eastAsia" w:ascii="UD デジタル 教科書体 NK-R" w:hAnsi="UD デジタル 教科書体 NK-R" w:eastAsia="UD デジタル 教科書体 NK-R"/>
          <w:sz w:val="24"/>
          <w:u w:val="single" w:color="auto"/>
        </w:rPr>
      </w:pPr>
      <w:r>
        <w:rPr>
          <w:rFonts w:hint="eastAsia" w:ascii="UD デジタル 教科書体 NK-R" w:hAnsi="UD デジタル 教科書体 NK-R" w:eastAsia="UD デジタル 教科書体 NK-R"/>
          <w:b w:val="0"/>
          <w:sz w:val="24"/>
          <w:u w:val="single" w:color="auto"/>
        </w:rPr>
        <w:t>葛󠄀城市</w:t>
      </w:r>
      <w:r>
        <w:rPr>
          <w:rFonts w:hint="eastAsia" w:ascii="UD デジタル 教科書体 NK-R" w:hAnsi="UD デジタル 教科書体 NK-R" w:eastAsia="UD デジタル 教科書体 NK-R"/>
          <w:sz w:val="24"/>
          <w:u w:val="single" w:color="auto"/>
        </w:rPr>
        <w:t>長　　様</w:t>
      </w:r>
    </w:p>
    <w:p>
      <w:pPr>
        <w:pStyle w:val="0"/>
        <w:snapToGrid w:val="0"/>
        <w:contextualSpacing w:val="1"/>
        <w:rPr>
          <w:rFonts w:hint="eastAsia" w:ascii="UD デジタル 教科書体 NK-R" w:hAnsi="UD デジタル 教科書体 NK-R" w:eastAsia="UD デジタル 教科書体 NK-R"/>
          <w:sz w:val="24"/>
        </w:rPr>
      </w:pPr>
    </w:p>
    <w:p>
      <w:pPr>
        <w:pStyle w:val="0"/>
        <w:snapToGrid w:val="0"/>
        <w:contextualSpacing w:val="1"/>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（提出者）</w:t>
      </w:r>
    </w:p>
    <w:p>
      <w:pPr>
        <w:pStyle w:val="0"/>
        <w:snapToGrid w:val="0"/>
        <w:contextualSpacing w:val="1"/>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所在地：</w:t>
      </w:r>
    </w:p>
    <w:p>
      <w:pPr>
        <w:pStyle w:val="0"/>
        <w:snapToGrid w:val="0"/>
        <w:contextualSpacing w:val="1"/>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企業名：</w:t>
      </w:r>
    </w:p>
    <w:p>
      <w:pPr>
        <w:pStyle w:val="0"/>
        <w:snapToGrid w:val="0"/>
        <w:contextualSpacing w:val="1"/>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代表者名：</w:t>
      </w:r>
      <w:r>
        <w:rPr>
          <w:rFonts w:hint="eastAsia" w:ascii="UD デジタル 教科書体 NK-R" w:hAnsi="UD デジタル 教科書体 NK-R" w:eastAsia="UD デジタル 教科書体 NK-R"/>
          <w:kern w:val="0"/>
          <w:sz w:val="24"/>
        </w:rPr>
        <w:t>　　　　　　　　　　　　</w:t>
      </w:r>
      <w:r>
        <w:rPr>
          <w:rFonts w:hint="eastAsia" w:ascii="UD デジタル 教科書体 NK-R" w:hAnsi="UD デジタル 教科書体 NK-R" w:eastAsia="UD デジタル 教科書体 NK-R"/>
          <w:sz w:val="24"/>
        </w:rPr>
        <w:t>　　</w:t>
      </w:r>
      <w:r>
        <w:rPr>
          <w:rFonts w:hint="eastAsia" w:ascii="UD デジタル 教科書体 NK-R" w:hAnsi="UD デジタル 教科書体 NK-R" w:eastAsia="UD デジタル 教科書体 NK-R"/>
          <w:sz w:val="24"/>
        </w:rPr>
        <w:t xml:space="preserve">        </w:t>
      </w:r>
      <w:r>
        <w:rPr>
          <w:rFonts w:hint="eastAsia" w:ascii="UD デジタル 教科書体 NK-R" w:hAnsi="UD デジタル 教科書体 NK-R" w:eastAsia="UD デジタル 教科書体 NK-R"/>
          <w:sz w:val="24"/>
        </w:rPr>
        <w:t>　　　印</w:t>
      </w:r>
    </w:p>
    <w:p>
      <w:pPr>
        <w:pStyle w:val="0"/>
        <w:snapToGrid w:val="0"/>
        <w:contextualSpacing w:val="1"/>
        <w:rPr>
          <w:rFonts w:hint="eastAsia" w:ascii="UD デジタル 教科書体 NK-R" w:hAnsi="UD デジタル 教科書体 NK-R" w:eastAsia="UD デジタル 教科書体 NK-R"/>
          <w:sz w:val="28"/>
        </w:rPr>
      </w:pPr>
    </w:p>
    <w:p>
      <w:pPr>
        <w:pStyle w:val="0"/>
        <w:snapToGrid w:val="0"/>
        <w:contextualSpacing w:val="1"/>
        <w:jc w:val="center"/>
        <w:rPr>
          <w:rFonts w:hint="eastAsia"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8"/>
        </w:rPr>
        <w:t>参加資格に関する申立書</w:t>
      </w:r>
    </w:p>
    <w:p>
      <w:pPr>
        <w:pStyle w:val="0"/>
        <w:snapToGrid w:val="0"/>
        <w:contextualSpacing w:val="1"/>
        <w:rPr>
          <w:rFonts w:hint="eastAsia" w:ascii="UD デジタル 教科書体 NK-R" w:hAnsi="UD デジタル 教科書体 NK-R" w:eastAsia="UD デジタル 教科書体 NK-R"/>
          <w:sz w:val="28"/>
        </w:rPr>
      </w:pPr>
    </w:p>
    <w:p>
      <w:pPr>
        <w:pStyle w:val="0"/>
        <w:snapToGrid w:val="0"/>
        <w:contextualSpacing w:val="1"/>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z w:val="24"/>
        </w:rPr>
        <w:t>　当社は、葛󠄀城市高齢者保健福祉計画・第</w:t>
      </w:r>
      <w:r>
        <w:rPr>
          <w:rFonts w:hint="eastAsia" w:ascii="UD デジタル 教科書体 NK-R" w:hAnsi="UD デジタル 教科書体 NK-R" w:eastAsia="UD デジタル 教科書体 NK-R"/>
          <w:sz w:val="24"/>
        </w:rPr>
        <w:t>10</w:t>
      </w:r>
      <w:r>
        <w:rPr>
          <w:rFonts w:hint="eastAsia" w:ascii="UD デジタル 教科書体 NK-R" w:hAnsi="UD デジタル 教科書体 NK-R" w:eastAsia="UD デジタル 教科書体 NK-R"/>
          <w:sz w:val="24"/>
        </w:rPr>
        <w:t>期介護保険事業計画・認知症施策推進計画策定等業務委託に係る公募型プロポーザルに参加するに当たり、下記の条件を全て満たしており、参加資格を有することを申し立てます。</w:t>
      </w:r>
      <w:bookmarkStart w:id="0" w:name="_GoBack"/>
      <w:bookmarkEnd w:id="0"/>
    </w:p>
    <w:p>
      <w:pPr>
        <w:pStyle w:val="0"/>
        <w:snapToGrid w:val="0"/>
        <w:contextualSpacing w:val="1"/>
        <w:rPr>
          <w:rFonts w:hint="eastAsia" w:ascii="UD デジタル 教科書体 NK-R" w:hAnsi="UD デジタル 教科書体 NK-R" w:eastAsia="UD デジタル 教科書体 NK-R"/>
        </w:rPr>
      </w:pPr>
    </w:p>
    <w:p>
      <w:pPr>
        <w:pStyle w:val="24"/>
        <w:snapToGrid w:val="0"/>
        <w:contextualSpacing w:val="1"/>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記</w:t>
      </w:r>
    </w:p>
    <w:p>
      <w:pPr>
        <w:pStyle w:val="0"/>
        <w:snapToGrid w:val="0"/>
        <w:contextualSpacing w:val="1"/>
        <w:rPr>
          <w:rFonts w:hint="eastAsia" w:ascii="UD デジタル 教科書体 NK-R" w:hAnsi="UD デジタル 教科書体 NK-R" w:eastAsia="UD デジタル 教科書体 NK-R"/>
        </w:rPr>
      </w:pPr>
    </w:p>
    <w:p>
      <w:pPr>
        <w:pStyle w:val="21"/>
        <w:numPr>
          <w:ilvl w:val="0"/>
          <w:numId w:val="1"/>
        </w:numPr>
        <w:snapToGrid w:val="0"/>
        <w:ind w:left="993" w:leftChars="0"/>
        <w:contextualSpacing w:val="1"/>
        <w:rPr>
          <w:rFonts w:hint="eastAsia" w:ascii="UD デジタル 教科書体 NK-R" w:hAnsi="UD デジタル 教科書体 NK-R" w:eastAsia="UD デジタル 教科書体 NK-R"/>
          <w:color w:val="auto"/>
          <w:sz w:val="21"/>
        </w:rPr>
      </w:pPr>
      <w:r>
        <w:rPr>
          <w:rFonts w:hint="eastAsia" w:ascii="UD デジタル 教科書体 NK-R" w:hAnsi="UD デジタル 教科書体 NK-R" w:eastAsia="UD デジタル 教科書体 NK-R"/>
          <w:color w:val="auto"/>
          <w:sz w:val="21"/>
        </w:rPr>
        <w:t>令和</w:t>
      </w:r>
      <w:r>
        <w:rPr>
          <w:rFonts w:hint="eastAsia" w:ascii="UD デジタル 教科書体 NK-R" w:hAnsi="UD デジタル 教科書体 NK-R" w:eastAsia="UD デジタル 教科書体 NK-R"/>
          <w:color w:val="auto"/>
          <w:sz w:val="21"/>
        </w:rPr>
        <w:t>7</w:t>
      </w:r>
      <w:r>
        <w:rPr>
          <w:rFonts w:hint="eastAsia" w:ascii="UD デジタル 教科書体 NK-R" w:hAnsi="UD デジタル 教科書体 NK-R" w:eastAsia="UD デジタル 教科書体 NK-R"/>
          <w:color w:val="auto"/>
          <w:sz w:val="21"/>
        </w:rPr>
        <w:t>年度において、葛󠄀城市競争入札参加資格を有する事業者であること。ただし、資格を有さない事業者は「４</w:t>
      </w:r>
      <w:r>
        <w:rPr>
          <w:rFonts w:hint="eastAsia" w:ascii="UD デジタル 教科書体 NK-R" w:hAnsi="UD デジタル 教科書体 NK-R" w:eastAsia="UD デジタル 教科書体 NK-R"/>
          <w:color w:val="auto"/>
          <w:sz w:val="21"/>
        </w:rPr>
        <w:t>.</w:t>
      </w:r>
      <w:r>
        <w:rPr>
          <w:rFonts w:hint="eastAsia" w:ascii="UD デジタル 教科書体 NK-R" w:hAnsi="UD デジタル 教科書体 NK-R" w:eastAsia="UD デジタル 教科書体 NK-R"/>
          <w:color w:val="auto"/>
          <w:sz w:val="21"/>
        </w:rPr>
        <w:t>入札参加資格を有さない者の参加」を参照し、必要書類を提出すること。</w:t>
      </w:r>
    </w:p>
    <w:p>
      <w:pPr>
        <w:pStyle w:val="21"/>
        <w:numPr>
          <w:ilvl w:val="0"/>
          <w:numId w:val="1"/>
        </w:numPr>
        <w:snapToGrid w:val="0"/>
        <w:ind w:left="993" w:leftChars="0"/>
        <w:contextualSpacing w:val="1"/>
        <w:rPr>
          <w:rFonts w:hint="eastAsia" w:ascii="UD デジタル 教科書体 NK-R" w:hAnsi="UD デジタル 教科書体 NK-R" w:eastAsia="UD デジタル 教科書体 NK-R"/>
          <w:color w:val="auto"/>
          <w:sz w:val="21"/>
        </w:rPr>
      </w:pPr>
      <w:r>
        <w:rPr>
          <w:rFonts w:hint="eastAsia" w:ascii="UD デジタル 教科書体 NK-R" w:hAnsi="UD デジタル 教科書体 NK-R" w:eastAsia="UD デジタル 教科書体 NK-R"/>
          <w:color w:val="auto"/>
          <w:sz w:val="21"/>
        </w:rPr>
        <w:t>地方自治法施行令（昭和２２年政令第</w:t>
      </w:r>
      <w:r>
        <w:rPr>
          <w:rFonts w:hint="eastAsia" w:ascii="UD デジタル 教科書体 NK-R" w:hAnsi="UD デジタル 教科書体 NK-R" w:eastAsia="UD デジタル 教科書体 NK-R"/>
          <w:color w:val="auto"/>
          <w:sz w:val="21"/>
          <w:highlight w:val="none"/>
        </w:rPr>
        <w:t>１６号</w:t>
      </w:r>
      <w:r>
        <w:rPr>
          <w:rFonts w:hint="eastAsia" w:ascii="UD デジタル 教科書体 NK-R" w:hAnsi="UD デジタル 教科書体 NK-R" w:eastAsia="UD デジタル 教科書体 NK-R"/>
          <w:color w:val="auto"/>
          <w:sz w:val="21"/>
        </w:rPr>
        <w:t>）第１６７条の４第１項の規定に該当しないこと。</w:t>
      </w:r>
    </w:p>
    <w:p>
      <w:pPr>
        <w:pStyle w:val="21"/>
        <w:numPr>
          <w:ilvl w:val="0"/>
          <w:numId w:val="1"/>
        </w:numPr>
        <w:snapToGrid w:val="0"/>
        <w:ind w:left="993" w:leftChars="0"/>
        <w:contextualSpacing w:val="1"/>
        <w:rPr>
          <w:rFonts w:hint="eastAsia" w:ascii="UD デジタル 教科書体 NK-R" w:hAnsi="UD デジタル 教科書体 NK-R" w:eastAsia="UD デジタル 教科書体 NK-R"/>
          <w:color w:val="auto"/>
          <w:sz w:val="21"/>
        </w:rPr>
      </w:pPr>
      <w:r>
        <w:rPr>
          <w:rFonts w:hint="eastAsia" w:ascii="UD デジタル 教科書体 NK-R" w:hAnsi="UD デジタル 教科書体 NK-R" w:eastAsia="UD デジタル 教科書体 NK-R"/>
          <w:color w:val="auto"/>
          <w:sz w:val="21"/>
        </w:rPr>
        <w:t>葛󠄀城市物品購入等の契約に係る指名停止措置要領に基づく指名停止を受けていないこと。</w:t>
      </w:r>
    </w:p>
    <w:p>
      <w:pPr>
        <w:pStyle w:val="21"/>
        <w:numPr>
          <w:ilvl w:val="0"/>
          <w:numId w:val="1"/>
        </w:numPr>
        <w:snapToGrid w:val="0"/>
        <w:ind w:left="993" w:leftChars="0"/>
        <w:contextualSpacing w:val="1"/>
        <w:rPr>
          <w:rFonts w:hint="eastAsia" w:ascii="UD デジタル 教科書体 NK-R" w:hAnsi="UD デジタル 教科書体 NK-R" w:eastAsia="UD デジタル 教科書体 NK-R"/>
          <w:color w:val="auto"/>
          <w:sz w:val="21"/>
        </w:rPr>
      </w:pPr>
      <w:r>
        <w:rPr>
          <w:rFonts w:hint="eastAsia" w:ascii="UD デジタル 教科書体 NK-R" w:hAnsi="UD デジタル 教科書体 NK-R" w:eastAsia="UD デジタル 教科書体 NK-R"/>
          <w:color w:val="auto"/>
          <w:sz w:val="21"/>
        </w:rPr>
        <w:t>地方自治法施行令（昭和２２年政令第１６号）第１６７条の４第２項各号のいずれかに該当すると認められる者でないこと、及び該当する事実があった日から２年経過していない者であること。</w:t>
      </w:r>
    </w:p>
    <w:p>
      <w:pPr>
        <w:pStyle w:val="21"/>
        <w:numPr>
          <w:ilvl w:val="0"/>
          <w:numId w:val="1"/>
        </w:numPr>
        <w:snapToGrid w:val="0"/>
        <w:ind w:left="993" w:leftChars="0"/>
        <w:contextualSpacing w:val="1"/>
        <w:rPr>
          <w:rFonts w:hint="eastAsia" w:ascii="UD デジタル 教科書体 NK-R" w:hAnsi="UD デジタル 教科書体 NK-R" w:eastAsia="UD デジタル 教科書体 NK-R"/>
          <w:color w:val="auto"/>
          <w:sz w:val="21"/>
        </w:rPr>
      </w:pPr>
      <w:r>
        <w:rPr>
          <w:rFonts w:hint="eastAsia" w:ascii="UD デジタル 教科書体 NK-R" w:hAnsi="UD デジタル 教科書体 NK-R" w:eastAsia="UD デジタル 教科書体 NK-R"/>
          <w:color w:val="auto"/>
          <w:sz w:val="21"/>
        </w:rPr>
        <w:t>破産法（平成１６年法律第７５号）規定に基づく破産手続開始の申し立て、会社更生法（平成１４年法律第１５４号）に基づく更生手続開始の申し立て、又は民事再生法（平成１１年法律第２５５号）に基づく再生手続開始の申し立てがなされている者でないこと。</w:t>
      </w:r>
    </w:p>
    <w:p>
      <w:pPr>
        <w:pStyle w:val="21"/>
        <w:numPr>
          <w:ilvl w:val="0"/>
          <w:numId w:val="1"/>
        </w:numPr>
        <w:snapToGrid w:val="0"/>
        <w:ind w:left="993" w:leftChars="0"/>
        <w:contextualSpacing w:val="1"/>
        <w:rPr>
          <w:rFonts w:hint="eastAsia" w:ascii="UD デジタル 教科書体 NK-R" w:hAnsi="UD デジタル 教科書体 NK-R" w:eastAsia="UD デジタル 教科書体 NK-R"/>
          <w:color w:val="auto"/>
          <w:sz w:val="21"/>
        </w:rPr>
      </w:pPr>
      <w:r>
        <w:rPr>
          <w:rFonts w:hint="eastAsia" w:ascii="UD デジタル 教科書体 NK-R" w:hAnsi="UD デジタル 教科書体 NK-R" w:eastAsia="UD デジタル 教科書体 NK-R"/>
          <w:color w:val="auto"/>
          <w:sz w:val="21"/>
        </w:rPr>
        <w:t>納付すべき国税及び地方税の滞納がない者であること。</w:t>
      </w:r>
    </w:p>
    <w:p>
      <w:pPr>
        <w:pStyle w:val="0"/>
        <w:numPr>
          <w:ilvl w:val="0"/>
          <w:numId w:val="1"/>
        </w:numPr>
        <w:snapToGrid w:val="0"/>
        <w:ind w:left="993" w:leftChars="0"/>
        <w:contextualSpacing w:val="1"/>
        <w:rPr>
          <w:rFonts w:hint="eastAsia" w:ascii="UD デジタル 教科書体 NK-R" w:hAnsi="UD デジタル 教科書体 NK-R" w:eastAsia="UD デジタル 教科書体 NK-R"/>
          <w:color w:val="auto"/>
          <w:sz w:val="21"/>
        </w:rPr>
      </w:pPr>
      <w:r>
        <w:rPr>
          <w:rFonts w:hint="eastAsia" w:ascii="UD デジタル 教科書体 NK-R" w:hAnsi="UD デジタル 教科書体 NK-R" w:eastAsia="UD デジタル 教科書体 NK-R"/>
          <w:color w:val="auto"/>
          <w:sz w:val="21"/>
        </w:rPr>
        <w:t>葛󠄀城市暴力団排除条例（平成２３年葛󠄀城市条例第１５号）第２条に規定する暴力団及び暴力団員又は暴力団密接関係者に該当する者でないこと。</w:t>
      </w:r>
    </w:p>
    <w:p>
      <w:pPr>
        <w:pStyle w:val="21"/>
        <w:numPr>
          <w:ilvl w:val="0"/>
          <w:numId w:val="1"/>
        </w:numPr>
        <w:snapToGrid w:val="0"/>
        <w:ind w:left="993" w:leftChars="0"/>
        <w:contextualSpacing w:val="1"/>
        <w:rPr>
          <w:rFonts w:hint="eastAsia" w:ascii="UD デジタル 教科書体 NK-R" w:hAnsi="UD デジタル 教科書体 NK-R" w:eastAsia="UD デジタル 教科書体 NK-R"/>
          <w:color w:val="auto"/>
          <w:sz w:val="21"/>
        </w:rPr>
      </w:pPr>
      <w:r>
        <w:rPr>
          <w:rFonts w:hint="eastAsia" w:ascii="UD デジタル 教科書体 NK-R" w:hAnsi="UD デジタル 教科書体 NK-R" w:eastAsia="UD デジタル 教科書体 NK-R"/>
          <w:color w:val="auto"/>
          <w:sz w:val="21"/>
        </w:rPr>
        <w:t>前期⑦に該当する者の依頼を受けて参加しようとする者でないこと。</w:t>
      </w:r>
    </w:p>
    <w:p>
      <w:pPr>
        <w:pStyle w:val="21"/>
        <w:numPr>
          <w:ilvl w:val="0"/>
          <w:numId w:val="1"/>
        </w:numPr>
        <w:snapToGrid w:val="0"/>
        <w:ind w:left="993" w:leftChars="0"/>
        <w:contextualSpacing w:val="1"/>
        <w:rPr>
          <w:rFonts w:hint="eastAsia" w:ascii="UD デジタル 教科書体 NK-R" w:hAnsi="UD デジタル 教科書体 NK-R" w:eastAsia="UD デジタル 教科書体 NK-R"/>
          <w:color w:val="auto"/>
          <w:sz w:val="21"/>
          <w:highlight w:val="none"/>
        </w:rPr>
      </w:pPr>
      <w:r>
        <w:rPr>
          <w:rFonts w:hint="eastAsia" w:ascii="UD デジタル 教科書体 NK-R" w:hAnsi="UD デジタル 教科書体 NK-R" w:eastAsia="UD デジタル 教科書体 NK-R"/>
          <w:color w:val="auto"/>
          <w:sz w:val="21"/>
          <w:highlight w:val="none"/>
          <w:shd w:val="clear" w:color="auto" w:fill="auto"/>
        </w:rPr>
        <w:t>参加申込書の提出時に、老人福祉法及び介護保険法に基づく第８期計画（令和３年度～令和５年度）以降の高齢者保健福祉計画及び介護保険事業計画策定業務の完了実績があること。ただし、アンケート調査や印刷などの業務の一部の実績は認めない。</w:t>
      </w:r>
    </w:p>
    <w:p>
      <w:pPr>
        <w:pStyle w:val="21"/>
        <w:numPr>
          <w:ilvl w:val="0"/>
          <w:numId w:val="1"/>
        </w:numPr>
        <w:snapToGrid w:val="0"/>
        <w:ind w:left="993" w:leftChars="0"/>
        <w:contextualSpacing w:val="1"/>
        <w:rPr>
          <w:rFonts w:hint="eastAsia" w:ascii="UD デジタル 教科書体 NK-R" w:hAnsi="UD デジタル 教科書体 NK-R" w:eastAsia="UD デジタル 教科書体 NK-R"/>
          <w:color w:val="auto"/>
          <w:sz w:val="21"/>
          <w:highlight w:val="none"/>
        </w:rPr>
      </w:pPr>
      <w:r>
        <w:rPr>
          <w:rFonts w:hint="eastAsia" w:ascii="UD デジタル 教科書体 NK-R" w:hAnsi="UD デジタル 教科書体 NK-R" w:eastAsia="UD デジタル 教科書体 NK-R"/>
          <w:color w:val="auto"/>
          <w:sz w:val="21"/>
          <w:highlight w:val="none"/>
          <w:shd w:val="clear" w:color="auto" w:fill="auto"/>
        </w:rPr>
        <w:t>前期⑨の業務において、業務責任者として業務実績のある人員を本業務に業務責任者として従事させること。</w:t>
      </w:r>
    </w:p>
    <w:p>
      <w:pPr>
        <w:pStyle w:val="21"/>
        <w:numPr>
          <w:ilvl w:val="0"/>
          <w:numId w:val="1"/>
        </w:numPr>
        <w:snapToGrid w:val="0"/>
        <w:ind w:left="993" w:leftChars="0"/>
        <w:contextualSpacing w:val="1"/>
        <w:rPr>
          <w:rFonts w:hint="eastAsia" w:ascii="UD デジタル 教科書体 NK-R" w:hAnsi="UD デジタル 教科書体 NK-R" w:eastAsia="UD デジタル 教科書体 NK-R"/>
          <w:color w:val="auto"/>
          <w:sz w:val="21"/>
          <w:highlight w:val="none"/>
        </w:rPr>
      </w:pPr>
      <w:r>
        <w:rPr>
          <w:rFonts w:hint="eastAsia" w:ascii="UD デジタル 教科書体 NK-R" w:hAnsi="UD デジタル 教科書体 NK-R" w:eastAsia="UD デジタル 教科書体 NK-R"/>
          <w:color w:val="auto"/>
          <w:sz w:val="21"/>
          <w:highlight w:val="none"/>
          <w:shd w:val="clear" w:color="auto" w:fill="auto"/>
        </w:rPr>
        <w:t>本業務において、十分な業務執行能力を有し、適正な執行体制を有すること及び本市の指示に迅速かつ柔軟に対応できること。</w:t>
      </w:r>
    </w:p>
    <w:p>
      <w:pPr>
        <w:pStyle w:val="21"/>
        <w:numPr>
          <w:ilvl w:val="0"/>
          <w:numId w:val="1"/>
        </w:numPr>
        <w:snapToGrid w:val="0"/>
        <w:ind w:left="993" w:leftChars="0"/>
        <w:contextualSpacing w:val="1"/>
        <w:rPr>
          <w:rFonts w:hint="eastAsia" w:ascii="UD デジタル 教科書体 NK-R" w:hAnsi="UD デジタル 教科書体 NK-R" w:eastAsia="UD デジタル 教科書体 NK-R"/>
          <w:color w:val="auto"/>
          <w:sz w:val="21"/>
        </w:rPr>
      </w:pPr>
      <w:r>
        <w:rPr>
          <w:rFonts w:hint="eastAsia" w:ascii="UD デジタル 教科書体 NK-R" w:hAnsi="UD デジタル 教科書体 NK-R" w:eastAsia="UD デジタル 教科書体 NK-R"/>
          <w:color w:val="auto"/>
          <w:sz w:val="21"/>
          <w:highlight w:val="none"/>
          <w:shd w:val="clear" w:color="auto" w:fill="auto"/>
        </w:rPr>
        <w:t>企業としてプライバシーマーク（</w:t>
      </w:r>
      <w:r>
        <w:rPr>
          <w:rFonts w:hint="eastAsia" w:ascii="UD デジタル 教科書体 NK-R" w:hAnsi="UD デジタル 教科書体 NK-R" w:eastAsia="UD デジタル 教科書体 NK-R"/>
          <w:color w:val="auto"/>
          <w:sz w:val="21"/>
          <w:highlight w:val="none"/>
          <w:shd w:val="clear" w:color="auto" w:fill="auto"/>
        </w:rPr>
        <w:t>JISQ15001</w:t>
      </w:r>
      <w:r>
        <w:rPr>
          <w:rFonts w:hint="eastAsia" w:ascii="UD デジタル 教科書体 NK-R" w:hAnsi="UD デジタル 教科書体 NK-R" w:eastAsia="UD デジタル 教科書体 NK-R"/>
          <w:color w:val="auto"/>
          <w:sz w:val="21"/>
          <w:highlight w:val="none"/>
          <w:shd w:val="clear" w:color="auto" w:fill="auto"/>
        </w:rPr>
        <w:t>）認証または情報セキュリティマネジメント（</w:t>
      </w:r>
      <w:r>
        <w:rPr>
          <w:rFonts w:hint="eastAsia" w:ascii="UD デジタル 教科書体 NK-R" w:hAnsi="UD デジタル 教科書体 NK-R" w:eastAsia="UD デジタル 教科書体 NK-R"/>
          <w:color w:val="auto"/>
          <w:sz w:val="21"/>
          <w:highlight w:val="none"/>
          <w:shd w:val="clear" w:color="auto" w:fill="auto"/>
        </w:rPr>
        <w:t>IOS/IEC27001</w:t>
      </w:r>
      <w:r>
        <w:rPr>
          <w:rFonts w:hint="eastAsia" w:ascii="UD デジタル 教科書体 NK-R" w:hAnsi="UD デジタル 教科書体 NK-R" w:eastAsia="UD デジタル 教科書体 NK-R"/>
          <w:color w:val="auto"/>
          <w:sz w:val="21"/>
          <w:highlight w:val="none"/>
          <w:shd w:val="clear" w:color="auto" w:fill="auto"/>
        </w:rPr>
        <w:t>）認証を取得していること。</w:t>
      </w:r>
    </w:p>
    <w:sectPr>
      <w:headerReference r:id="rId6" w:type="default"/>
      <w:pgSz w:w="11906" w:h="16838"/>
      <w:pgMar w:top="1560" w:right="1418" w:bottom="851" w:left="1418" w:header="113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d.....">
    <w:panose1 w:val="00000000000000000000"/>
    <w:charset w:val="80"/>
    <w:family w:val="roman"/>
    <w:notTrueType/>
    <w:pitch w:val="fixed"/>
    <w:sig w:usb0="00000000" w:usb1="00000000" w:usb2="00000000" w:usb3="00000000" w:csb0="00020000" w:csb1="00000000"/>
  </w:font>
  <w:font w:name="HGｺﾞｼｯｸM">
    <w:panose1 w:val="00000000000000000000"/>
    <w:charset w:val="80"/>
    <w:family w:val="modern"/>
    <w:notTrueType/>
    <w:pitch w:val="fixed"/>
    <w:sig w:usb0="00000000" w:usb1="00000000" w:usb2="00000000" w:usb3="00000000" w:csb0="01008200" w:csb1="00000000"/>
  </w:font>
  <w:font w:name="A-OTF UD Shin Go NT Pro L">
    <w:panose1 w:val="00000000000000000000"/>
    <w:charset w:val="80"/>
    <w:family w:val="swiss"/>
    <w:notTrueType/>
    <w:pitch w:val="fixed"/>
    <w:sig w:usb0="00000000" w:usb1="00000000" w:usb2="00000000" w:usb3="00000000" w:csb0="05000200" w:csb1="00000000"/>
  </w:font>
  <w:font w:name="HG正楷書体-PRO">
    <w:panose1 w:val="00000000000000000000"/>
    <w:charset w:val="80"/>
    <w:family w:val="script"/>
    <w:notTrueType/>
    <w:pitch w:val="variable"/>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【様式２】</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A162CB4"/>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Note Heading"/>
    <w:basedOn w:val="0"/>
    <w:next w:val="0"/>
    <w:link w:val="25"/>
    <w:uiPriority w:val="0"/>
    <w:pPr>
      <w:jc w:val="center"/>
    </w:pPr>
    <w:rPr>
      <w:rFonts w:asciiTheme="minorEastAsia" w:hAnsiTheme="minorEastAsia"/>
      <w:sz w:val="24"/>
    </w:rPr>
  </w:style>
  <w:style w:type="character" w:styleId="25" w:customStyle="1">
    <w:name w:val="記 (文字)"/>
    <w:basedOn w:val="10"/>
    <w:next w:val="25"/>
    <w:link w:val="24"/>
    <w:uiPriority w:val="0"/>
    <w:rPr>
      <w:rFonts w:asciiTheme="minorEastAsia" w:hAnsiTheme="minorEastAsia"/>
      <w:sz w:val="24"/>
    </w:rPr>
  </w:style>
  <w:style w:type="paragraph" w:styleId="26">
    <w:name w:val="Closing"/>
    <w:basedOn w:val="0"/>
    <w:next w:val="26"/>
    <w:link w:val="27"/>
    <w:uiPriority w:val="0"/>
    <w:pPr>
      <w:jc w:val="right"/>
    </w:pPr>
    <w:rPr>
      <w:rFonts w:asciiTheme="minorEastAsia" w:hAnsiTheme="minorEastAsia"/>
      <w:sz w:val="24"/>
    </w:rPr>
  </w:style>
  <w:style w:type="character" w:styleId="27" w:customStyle="1">
    <w:name w:val="結語 (文字)"/>
    <w:basedOn w:val="10"/>
    <w:next w:val="27"/>
    <w:link w:val="26"/>
    <w:uiPriority w:val="0"/>
    <w:rPr>
      <w:rFonts w:asciiTheme="minorEastAsia" w:hAnsiTheme="minorEastAsia"/>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136</TotalTime>
  <Pages>1</Pages>
  <Words>5</Words>
  <Characters>976</Characters>
  <Application>JUST Note</Application>
  <Lines>41</Lines>
  <Paragraphs>21</Paragraphs>
  <CharactersWithSpaces>1074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2020-04-21T02:15:00Z</cp:lastPrinted>
  <dcterms:created xsi:type="dcterms:W3CDTF">2020-10-14T10:18:00Z</dcterms:created>
  <dcterms:modified xsi:type="dcterms:W3CDTF">2025-04-09T06:30:24Z</dcterms:modified>
  <cp:revision>24</cp:revision>
</cp:coreProperties>
</file>