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u w:val="single" w:color="auto"/>
        </w:rPr>
      </w:pPr>
      <w:r>
        <w:rPr>
          <w:rFonts w:hint="eastAsia" w:ascii="HGｺﾞｼｯｸM" w:hAnsi="HGｺﾞｼｯｸM" w:eastAsia="HGｺﾞｼｯｸM"/>
          <w:sz w:val="24"/>
          <w:u w:val="singl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当社は、葛城市こども・若者サポートセンター</w:t>
      </w:r>
      <w:r>
        <w:rPr>
          <w:rFonts w:hint="eastAsia" w:ascii="HGｺﾞｼｯｸM" w:hAnsi="HGｺﾞｼｯｸM" w:eastAsia="HGｺﾞｼｯｸM"/>
          <w:sz w:val="24"/>
        </w:rPr>
        <w:t>AI</w:t>
      </w:r>
      <w:r>
        <w:rPr>
          <w:rFonts w:hint="eastAsia" w:ascii="HGｺﾞｼｯｸM" w:hAnsi="HGｺﾞｼｯｸM" w:eastAsia="HGｺﾞｼｯｸM"/>
          <w:sz w:val="24"/>
        </w:rPr>
        <w:t>相談システム導入業務委託プロポーザルに参加するに当たり、下記の条件を全て満たしており、参加資格を有することを申し立てます。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rPr>
      </w:pPr>
    </w:p>
    <w:p>
      <w:pPr>
        <w:pStyle w:val="0"/>
        <w:ind w:left="0" w:leftChars="0" w:hanging="720" w:hangingChars="300"/>
        <w:rPr>
          <w:rFonts w:hint="default" w:ascii="HGｺﾞｼｯｸM" w:hAnsi="HGｺﾞｼｯｸM" w:eastAsia="HGｺﾞｼｯｸM"/>
          <w:color w:val="000000" w:themeColor="text1"/>
          <w:sz w:val="24"/>
        </w:rPr>
      </w:pPr>
      <w:r>
        <w:rPr>
          <w:rFonts w:hint="eastAsia" w:ascii="HGｺﾞｼｯｸM" w:hAnsi="HGｺﾞｼｯｸM" w:eastAsia="HGｺﾞｼｯｸM"/>
          <w:color w:val="000000" w:themeColor="text1"/>
          <w:sz w:val="24"/>
        </w:rPr>
        <w:t>（１）</w:t>
      </w:r>
      <w:r>
        <w:rPr>
          <w:rFonts w:hint="eastAsia" w:ascii="HGｺﾞｼｯｸM" w:hAnsi="HGｺﾞｼｯｸM" w:eastAsia="HGｺﾞｼｯｸM"/>
          <w:color w:val="000000" w:themeColor="text1"/>
          <w:sz w:val="24"/>
        </w:rPr>
        <w:t xml:space="preserve"> </w:t>
      </w:r>
      <w:r>
        <w:rPr>
          <w:rFonts w:hint="eastAsia" w:ascii="HGｺﾞｼｯｸM" w:hAnsi="HGｺﾞｼｯｸM" w:eastAsia="HGｺﾞｼｯｸM"/>
          <w:color w:val="000000" w:themeColor="text1"/>
          <w:sz w:val="24"/>
        </w:rPr>
        <w:t>企業、</w:t>
      </w:r>
      <w:r>
        <w:rPr>
          <w:rFonts w:hint="eastAsia" w:ascii="HGｺﾞｼｯｸM" w:hAnsi="HGｺﾞｼｯｸM" w:eastAsia="HGｺﾞｼｯｸM"/>
          <w:color w:val="000000" w:themeColor="text1"/>
          <w:sz w:val="24"/>
        </w:rPr>
        <w:t>NPO</w:t>
      </w:r>
      <w:r>
        <w:rPr>
          <w:rFonts w:hint="eastAsia" w:ascii="HGｺﾞｼｯｸM" w:hAnsi="HGｺﾞｼｯｸM" w:eastAsia="HGｺﾞｼｯｸM"/>
          <w:color w:val="000000" w:themeColor="text1"/>
          <w:sz w:val="24"/>
        </w:rPr>
        <w:t>法人、その他の法人であって、委託事業を的確に遂行するに足りる能力を有する者。</w:t>
      </w:r>
    </w:p>
    <w:p>
      <w:pPr>
        <w:pStyle w:val="21"/>
        <w:numPr>
          <w:numId w:val="0"/>
        </w:numPr>
        <w:ind w:left="0" w:leftChars="0" w:hanging="720" w:hangingChars="300"/>
        <w:jc w:val="left"/>
        <w:rPr>
          <w:rFonts w:hint="eastAsia" w:ascii="HGｺﾞｼｯｸM" w:hAnsi="HGｺﾞｼｯｸM" w:eastAsia="HGｺﾞｼｯｸM"/>
          <w:sz w:val="24"/>
          <w:highlight w:val="none"/>
        </w:rPr>
      </w:pPr>
      <w:r>
        <w:rPr>
          <w:rFonts w:hint="eastAsia" w:ascii="HGｺﾞｼｯｸM" w:hAnsi="HGｺﾞｼｯｸM" w:eastAsia="HGｺﾞｼｯｸM"/>
          <w:color w:val="000000" w:themeColor="text1"/>
          <w:sz w:val="24"/>
        </w:rPr>
        <w:t>（２）</w:t>
      </w:r>
      <w:r>
        <w:rPr>
          <w:rFonts w:hint="eastAsia" w:ascii="HGｺﾞｼｯｸM" w:hAnsi="HGｺﾞｼｯｸM" w:eastAsia="HGｺﾞｼｯｸM"/>
          <w:sz w:val="24"/>
          <w:highlight w:val="none"/>
        </w:rPr>
        <w:t>本業務を円滑に遂行するための経営基盤、必要な経理的基礎、管理能力を有する者。</w:t>
      </w:r>
    </w:p>
    <w:p>
      <w:pPr>
        <w:pStyle w:val="21"/>
        <w:numPr>
          <w:numId w:val="0"/>
        </w:numPr>
        <w:ind w:left="0" w:leftChars="0" w:firstLineChars="0"/>
        <w:jc w:val="left"/>
        <w:rPr>
          <w:rFonts w:hint="eastAsia" w:ascii="HGｺﾞｼｯｸM" w:hAnsi="HGｺﾞｼｯｸM" w:eastAsia="HGｺﾞｼｯｸM"/>
          <w:sz w:val="24"/>
          <w:highlight w:val="none"/>
        </w:rPr>
      </w:pPr>
      <w:r>
        <w:rPr>
          <w:rFonts w:hint="eastAsia" w:ascii="HGｺﾞｼｯｸM" w:hAnsi="HGｺﾞｼｯｸM" w:eastAsia="HGｺﾞｼｯｸM"/>
          <w:sz w:val="24"/>
          <w:highlight w:val="none"/>
        </w:rPr>
        <w:t>（３）国税及び地方税を滞納していない者</w:t>
      </w:r>
    </w:p>
    <w:p>
      <w:pPr>
        <w:pStyle w:val="21"/>
        <w:numPr>
          <w:numId w:val="0"/>
        </w:numPr>
        <w:ind w:left="0" w:leftChars="0" w:firstLineChars="0"/>
        <w:jc w:val="left"/>
        <w:rPr>
          <w:rFonts w:hint="eastAsia" w:ascii="HGｺﾞｼｯｸM" w:hAnsi="HGｺﾞｼｯｸM" w:eastAsia="HGｺﾞｼｯｸM"/>
          <w:sz w:val="24"/>
          <w:highlight w:val="none"/>
        </w:rPr>
      </w:pPr>
      <w:r>
        <w:rPr>
          <w:rFonts w:hint="eastAsia" w:ascii="HGｺﾞｼｯｸM" w:hAnsi="HGｺﾞｼｯｸM" w:eastAsia="HGｺﾞｼｯｸM"/>
          <w:sz w:val="24"/>
          <w:highlight w:val="none"/>
        </w:rPr>
        <w:t>（４）地方自治法施行令第１６７条の４の規定に該当しない者。</w:t>
      </w:r>
    </w:p>
    <w:p>
      <w:pPr>
        <w:pStyle w:val="21"/>
        <w:numPr>
          <w:numId w:val="0"/>
        </w:numPr>
        <w:ind w:left="0" w:leftChars="0" w:hanging="720" w:hangingChars="300"/>
        <w:jc w:val="left"/>
        <w:rPr>
          <w:rFonts w:hint="eastAsia" w:ascii="HGｺﾞｼｯｸM" w:hAnsi="HGｺﾞｼｯｸM" w:eastAsia="HGｺﾞｼｯｸM"/>
          <w:sz w:val="24"/>
          <w:highlight w:val="none"/>
        </w:rPr>
      </w:pPr>
      <w:r>
        <w:rPr>
          <w:rFonts w:hint="eastAsia" w:ascii="HGｺﾞｼｯｸM" w:hAnsi="HGｺﾞｼｯｸM" w:eastAsia="HGｺﾞｼｯｸM"/>
          <w:sz w:val="24"/>
          <w:highlight w:val="none"/>
        </w:rPr>
        <w:t>（５）破産法（平成１６年法律第７５号）による破産手続き開始の申立て、会社更生法（平成１４年法律第１５４号）及び民事再生法（平成１１年法律第２２５号）に基づき再生手続き開始の申し立てをしていない者。</w:t>
      </w:r>
    </w:p>
    <w:p>
      <w:pPr>
        <w:pStyle w:val="0"/>
        <w:ind w:left="653" w:leftChars="311" w:firstLine="0" w:firstLineChars="0"/>
        <w:jc w:val="left"/>
        <w:rPr>
          <w:rFonts w:hint="eastAsia" w:ascii="HGｺﾞｼｯｸM" w:hAnsi="HGｺﾞｼｯｸM" w:eastAsia="HGｺﾞｼｯｸM"/>
          <w:sz w:val="24"/>
        </w:rPr>
      </w:pPr>
      <w:r>
        <w:rPr>
          <w:rFonts w:hint="eastAsia" w:ascii="HGｺﾞｼｯｸM" w:hAnsi="HGｺﾞｼｯｸM" w:eastAsia="HGｺﾞｼｯｸM"/>
          <w:sz w:val="24"/>
          <w:highlight w:val="none"/>
        </w:rPr>
        <w:t>ただし、会社再生法の規定による更生計画又は民事再生法の規定による再生　計画について、裁判所の認可決定を受けた者を除く。</w:t>
      </w:r>
    </w:p>
    <w:p>
      <w:pPr>
        <w:pStyle w:val="0"/>
        <w:ind w:left="0" w:leftChars="0" w:hanging="480" w:hangingChars="200"/>
        <w:jc w:val="left"/>
        <w:rPr>
          <w:rFonts w:hint="default" w:ascii="HGｺﾞｼｯｸM" w:hAnsi="HGｺﾞｼｯｸM" w:eastAsia="HGｺﾞｼｯｸM"/>
          <w:sz w:val="24"/>
        </w:rPr>
      </w:pPr>
      <w:r>
        <w:rPr>
          <w:rFonts w:hint="eastAsia" w:ascii="HGｺﾞｼｯｸM" w:hAnsi="HGｺﾞｼｯｸM" w:eastAsia="HGｺﾞｼｯｸM"/>
          <w:sz w:val="24"/>
        </w:rPr>
        <w:t>（６）役員等が暴力団及び暴力団員又は暴力団密接関係者に該当する者でないこ</w:t>
      </w:r>
      <w:bookmarkStart w:id="0" w:name="_GoBack"/>
      <w:bookmarkEnd w:id="0"/>
      <w:r>
        <w:rPr>
          <w:rFonts w:hint="eastAsia" w:ascii="HGｺﾞｼｯｸM" w:hAnsi="HGｺﾞｼｯｸM" w:eastAsia="HGｺﾞｼｯｸM"/>
          <w:sz w:val="24"/>
        </w:rPr>
        <w:t>と。</w:t>
      </w:r>
    </w:p>
    <w:p>
      <w:pPr>
        <w:pStyle w:val="0"/>
        <w:ind w:leftChars="0" w:firstLineChars="0"/>
        <w:jc w:val="left"/>
        <w:rPr>
          <w:rFonts w:hint="eastAsia" w:ascii="HGｺﾞｼｯｸM" w:hAnsi="HGｺﾞｼｯｸM" w:eastAsia="HGｺﾞｼｯｸM"/>
          <w:sz w:val="24"/>
        </w:rPr>
      </w:pPr>
    </w:p>
    <w:sectPr>
      <w:headerReference r:id="rId5"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5000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78</Words>
  <Characters>450</Characters>
  <Application>JUST Note</Application>
  <Lines>3</Lines>
  <Paragraphs>1</Paragraphs>
  <CharactersWithSpaces>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2021-07-07T09:37:04Z</dcterms:modified>
  <cp:revision>3</cp:revision>
</cp:coreProperties>
</file>