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一般事務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都市計画課（二上山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32"/>
              </w:rPr>
              <w:t>ふるさと公園）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　受験番号：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161</Characters>
  <Application>JUST Note</Application>
  <Lines>32</Lines>
  <Paragraphs>17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石岡　千寿</dc:creator>
  <cp:lastModifiedBy>神代　菜穂子</cp:lastModifiedBy>
  <cp:lastPrinted>2023-01-30T06:41:41Z</cp:lastPrinted>
  <dcterms:created xsi:type="dcterms:W3CDTF">2020-05-13T03:02:00Z</dcterms:created>
  <dcterms:modified xsi:type="dcterms:W3CDTF">2025-11-27T02:38:17Z</dcterms:modified>
  <cp:revision>4</cp:revision>
</cp:coreProperties>
</file>