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当社は、葛󠄀城市空家等実態調査及び葛󠄀城市空家等対策計画策定支援業務委託の内容を理解した上で、本プロポーザルに参加します。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】受注実績調書（参加要件及び実績審査）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shd w:val="clear" w:color="auto" w:fill="auto"/>
        </w:rPr>
        <w:t>【様式５】配置技術者調書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□【様式６】プロポーザル参加資格要件審査申請書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□【様式７】質疑書</w:t>
      </w: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　※令和６年度において、葛󠄀城市競争入札参加資格を有さない事業者は、「葛󠄀城市空家等実態調査及び葛󠄀城市空家等対策計画策定支援業務委託プロポーザル実施要領」の第２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.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プロポーザルに関する事項（２）入札参加資格を有さない者の参加に基づく、「参加資格審査結果通知書」を提出すること。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440</Characters>
  <Application>JUST Note</Application>
  <Lines>36</Lines>
  <Paragraphs>25</Paragraphs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2024-05-20T02:13:22Z</dcterms:modified>
  <cp:revision>18</cp:revision>
</cp:coreProperties>
</file>