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48"/>
        </w:rPr>
        <w:t>葛城市会計年度任用職員応募用紙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提出日：令和　　年　　月　　日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tbl>
      <w:tblPr>
        <w:tblStyle w:val="21"/>
        <w:tblW w:w="92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036"/>
      </w:tblGrid>
      <w:tr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フリガナ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029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氏　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連絡先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（自宅・携帯）　　　　－　　　　－　　　　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応募職種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（職種：一般事務職）</w:t>
            </w: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応募業務名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ind w:firstLine="320" w:firstLineChars="100"/>
              <w:jc w:val="left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葛󠄀城市議会議員選挙期日前投票所等事務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応募担当課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ind w:firstLine="320" w:firstLineChars="100"/>
              <w:jc w:val="left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総務課</w:t>
            </w:r>
          </w:p>
        </w:tc>
      </w:tr>
    </w:tbl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※履歴書（任意様式）を添付のうえ、応募担当課へ提出して下さい。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437515</wp:posOffset>
                </wp:positionV>
                <wp:extent cx="6934200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.5pt" o:spt="20" from="-37.9pt,34.450000000000003pt" to="508.1pt,34.450000000000003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【担当課使用欄】　　　　　　　　　　</w:t>
      </w:r>
      <w:r>
        <w:rPr>
          <w:rFonts w:hint="eastAsia" w:asciiTheme="majorEastAsia" w:hAnsiTheme="majorEastAsia" w:eastAsiaTheme="majorEastAsia"/>
          <w:b w:val="1"/>
          <w:sz w:val="24"/>
        </w:rPr>
        <w:t>担当者：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・受付日時：令和　　年　　月　　日　受験番号：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・応募：　　　　　　人目　／　　　　人採用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・選考：　　合格　／　不合格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・合否連絡：令和　　年　　月　　日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156</Characters>
  <Application>JUST Note</Application>
  <Lines>33</Lines>
  <Paragraphs>17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田野　裕晃</dc:creator>
  <cp:lastModifiedBy>丹賀　圭一</cp:lastModifiedBy>
  <dcterms:created xsi:type="dcterms:W3CDTF">2021-09-10T00:55:00Z</dcterms:created>
  <dcterms:modified xsi:type="dcterms:W3CDTF">2025-08-25T02:30:41Z</dcterms:modified>
  <cp:revision>4</cp:revision>
</cp:coreProperties>
</file>