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トイレカー（ユニバーサルタイプ）の購入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柿本</w:t>
      </w:r>
      <w:bookmarkStart w:id="0" w:name="_GoBack"/>
      <w:bookmarkEnd w:id="0"/>
      <w:r>
        <w:rPr>
          <w:rFonts w:hint="eastAsia"/>
          <w:spacing w:val="4"/>
          <w:sz w:val="24"/>
        </w:rPr>
        <w:t>　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118</Words>
  <Characters>322</Characters>
  <Application>JUST Note</Application>
  <Lines>2</Lines>
  <Paragraphs>1</Paragraphs>
  <CharactersWithSpaces>439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丹賀　圭一</cp:lastModifiedBy>
  <cp:lastPrinted>2019-07-09T07:57:00Z</cp:lastPrinted>
  <dcterms:created xsi:type="dcterms:W3CDTF">2021-11-29T10:29:00Z</dcterms:created>
  <dcterms:modified xsi:type="dcterms:W3CDTF">2025-03-25T08:56:52Z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