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8</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生活保護業務システム用端末等賃貸借業務</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9</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9</w:t>
      </w:r>
      <w:r>
        <w:rPr>
          <w:rFonts w:hint="eastAsia" w:ascii="UD デジタル 教科書体 N" w:hAnsi="UD デジタル 教科書体 N" w:eastAsia="UD デジタル 教科書体 N"/>
          <w:spacing w:val="-6"/>
          <w:highlight w:val="none"/>
        </w:rPr>
        <w:t>日（火）に開札された生活保護業務システム用端末等賃貸借業務に係る競争入札参加資格について、確認されたく下記の書類を添えて申請します。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生活保護業務システム用端末等賃貸借業務</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0820001"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9</Pages>
  <Words>157</Words>
  <Characters>6775</Characters>
  <Application>JUST Note</Application>
  <Lines>368</Lines>
  <Paragraphs>250</Paragraphs>
  <CharactersWithSpaces>7912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2025-07-29T04:44:00Z</dcterms:created>
  <dcterms:modified xsi:type="dcterms:W3CDTF">2025-07-29T04:45:00Z</dcterms:modified>
  <cp:revision>0</cp:revision>
</cp:coreProperties>
</file>