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当社は、葛城市保育所等の医療的ケア児受入れ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</w:rPr>
        <w:t>ガイドライン策定業務の内容を理解した上で、本プロポーザルに参加します。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3</w:t>
      </w:r>
      <w:r>
        <w:rPr>
          <w:rFonts w:hint="eastAsia" w:ascii="HGｺﾞｼｯｸM" w:hAnsi="HGｺﾞｼｯｸM" w:eastAsia="HGｺﾞｼｯｸM"/>
          <w:sz w:val="24"/>
        </w:rPr>
        <w:t>】受注実績調書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4</w:t>
      </w:r>
      <w:r>
        <w:rPr>
          <w:rFonts w:hint="eastAsia" w:ascii="HGｺﾞｼｯｸM" w:hAnsi="HGｺﾞｼｯｸM" w:eastAsia="HGｺﾞｼｯｸM"/>
          <w:sz w:val="24"/>
        </w:rPr>
        <w:t>】会社概要書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237</Characters>
  <Application>JUST Note</Application>
  <Lines>35</Lines>
  <Paragraphs>19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2022-06-24T02:58:36Z</dcterms:modified>
  <cp:revision>1</cp:revision>
</cp:coreProperties>
</file>